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10E20CAE"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DD621E">
        <w:rPr>
          <w:rFonts w:eastAsia="SimSun"/>
          <w:b/>
          <w:kern w:val="2"/>
          <w:sz w:val="22"/>
          <w:szCs w:val="22"/>
          <w:lang w:val="en-US" w:eastAsia="zh-CN"/>
        </w:rPr>
        <w:t>4</w:t>
      </w:r>
      <w:r w:rsidR="000052FC">
        <w:rPr>
          <w:rFonts w:eastAsia="SimSun"/>
          <w:b/>
          <w:kern w:val="2"/>
          <w:sz w:val="22"/>
          <w:szCs w:val="22"/>
          <w:lang w:val="en-US" w:eastAsia="zh-CN"/>
        </w:rPr>
        <w:t>bis</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F34D41">
        <w:rPr>
          <w:rFonts w:eastAsia="SimSun"/>
          <w:b/>
          <w:kern w:val="2"/>
          <w:sz w:val="22"/>
          <w:szCs w:val="22"/>
          <w:lang w:val="en-US" w:eastAsia="zh-CN"/>
        </w:rPr>
        <w:t>30</w:t>
      </w:r>
      <w:r w:rsidR="003E510A">
        <w:rPr>
          <w:rFonts w:eastAsia="SimSun"/>
          <w:b/>
          <w:kern w:val="2"/>
          <w:sz w:val="22"/>
          <w:szCs w:val="22"/>
          <w:lang w:val="en-US" w:eastAsia="zh-CN"/>
        </w:rPr>
        <w:t>998</w:t>
      </w:r>
      <w:r w:rsidR="00067B15">
        <w:rPr>
          <w:rFonts w:eastAsia="SimSun"/>
          <w:b/>
          <w:kern w:val="2"/>
          <w:sz w:val="22"/>
          <w:szCs w:val="22"/>
          <w:lang w:val="en-US" w:eastAsia="zh-CN"/>
        </w:rPr>
        <w:t>8</w:t>
      </w:r>
    </w:p>
    <w:p w14:paraId="03096DEE" w14:textId="73312698" w:rsidR="00B9228A" w:rsidRPr="002C2EC6" w:rsidRDefault="000052FC" w:rsidP="00A64DE9">
      <w:pPr>
        <w:tabs>
          <w:tab w:val="right" w:pos="9216"/>
        </w:tabs>
        <w:autoSpaceDE w:val="0"/>
        <w:autoSpaceDN w:val="0"/>
        <w:adjustRightInd w:val="0"/>
        <w:snapToGrid w:val="0"/>
        <w:rPr>
          <w:rFonts w:eastAsia="SimSun"/>
          <w:b/>
          <w:kern w:val="2"/>
          <w:sz w:val="22"/>
          <w:szCs w:val="22"/>
          <w:lang w:val="en-US" w:eastAsia="zh-CN"/>
        </w:rPr>
      </w:pPr>
      <w:bookmarkStart w:id="0" w:name="_Hlk131587674"/>
      <w:r w:rsidRPr="000B10A2">
        <w:rPr>
          <w:b/>
          <w:bCs/>
          <w:sz w:val="22"/>
          <w:szCs w:val="22"/>
          <w:lang w:val="en-US" w:eastAsia="zh-CN"/>
        </w:rPr>
        <w:t>Xiamen, China, October 9th – October 13</w:t>
      </w:r>
      <w:r w:rsidRPr="000B10A2">
        <w:rPr>
          <w:b/>
          <w:bCs/>
          <w:sz w:val="22"/>
          <w:szCs w:val="22"/>
          <w:vertAlign w:val="superscript"/>
          <w:lang w:val="en-US" w:eastAsia="zh-CN"/>
        </w:rPr>
        <w:t>th</w:t>
      </w:r>
      <w:r w:rsidR="00DD621E" w:rsidRPr="00F93BBD">
        <w:rPr>
          <w:b/>
          <w:bCs/>
          <w:sz w:val="22"/>
          <w:szCs w:val="22"/>
          <w:lang w:val="en-US" w:eastAsia="zh-CN"/>
        </w:rPr>
        <w:t>,</w:t>
      </w:r>
      <w:bookmarkEnd w:id="0"/>
      <w:r w:rsidR="00DD621E" w:rsidRPr="00F93BBD">
        <w:rPr>
          <w:b/>
          <w:bCs/>
          <w:sz w:val="22"/>
          <w:szCs w:val="22"/>
          <w:lang w:val="en-US" w:eastAsia="zh-CN"/>
        </w:rPr>
        <w:t xml:space="preserve"> </w:t>
      </w:r>
      <w:r w:rsidR="00B9228A" w:rsidRPr="002C2EC6">
        <w:rPr>
          <w:rFonts w:eastAsia="SimSun"/>
          <w:b/>
          <w:kern w:val="2"/>
          <w:sz w:val="22"/>
          <w:szCs w:val="22"/>
          <w:lang w:val="en-US" w:eastAsia="zh-CN"/>
        </w:rPr>
        <w:t>202</w:t>
      </w:r>
      <w:r w:rsidR="00F93BBD">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0EC7DBF"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0052FC">
        <w:rPr>
          <w:rFonts w:eastAsia="SimSun"/>
          <w:b/>
          <w:kern w:val="2"/>
          <w:sz w:val="22"/>
          <w:szCs w:val="22"/>
          <w:lang w:val="en-US" w:eastAsia="zh-CN"/>
        </w:rPr>
        <w:t>8.13</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674ACF8E"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09641D" w:rsidRPr="0009641D">
        <w:rPr>
          <w:rFonts w:eastAsia="SimSun"/>
          <w:b/>
          <w:kern w:val="2"/>
          <w:sz w:val="22"/>
          <w:szCs w:val="22"/>
          <w:lang w:val="en-US" w:eastAsia="zh-CN"/>
        </w:rPr>
        <w:t xml:space="preserve">Discussion on RAN4 LS on the system parameters for NTN above 10 GHz </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4C73FB06" w14:textId="7C213921" w:rsidR="00A956C0" w:rsidRDefault="005F2BBB" w:rsidP="007D245A">
      <w:pPr>
        <w:spacing w:after="120"/>
        <w:jc w:val="both"/>
        <w:rPr>
          <w:rFonts w:eastAsia="Malgun Gothic"/>
          <w:sz w:val="22"/>
          <w:szCs w:val="22"/>
          <w:lang w:val="en-US" w:eastAsia="en-US"/>
        </w:rPr>
      </w:pPr>
      <w:r w:rsidRPr="007F6704">
        <w:rPr>
          <w:rFonts w:eastAsia="Malgun Gothic"/>
          <w:sz w:val="22"/>
          <w:szCs w:val="22"/>
          <w:lang w:val="en-US" w:eastAsia="en-US"/>
        </w:rPr>
        <w:t>In RAN#</w:t>
      </w:r>
      <w:r w:rsidR="0009641D">
        <w:rPr>
          <w:rFonts w:eastAsia="Malgun Gothic"/>
          <w:sz w:val="22"/>
          <w:szCs w:val="22"/>
          <w:lang w:val="en-US" w:eastAsia="en-US"/>
        </w:rPr>
        <w:t>101</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r w:rsidR="007D245A">
        <w:rPr>
          <w:rFonts w:eastAsia="Malgun Gothic"/>
          <w:sz w:val="22"/>
          <w:szCs w:val="22"/>
          <w:lang w:val="en-US" w:eastAsia="en-US"/>
        </w:rPr>
        <w:t xml:space="preserve"> </w:t>
      </w:r>
      <w:r w:rsidR="00A956C0">
        <w:rPr>
          <w:rFonts w:eastAsia="Malgun Gothic"/>
          <w:sz w:val="22"/>
          <w:szCs w:val="22"/>
          <w:lang w:val="en-US" w:eastAsia="en-US"/>
        </w:rPr>
        <w:t xml:space="preserve">This includes an objective for </w:t>
      </w:r>
      <w:r w:rsidR="00A956C0" w:rsidRPr="00A956C0">
        <w:rPr>
          <w:rFonts w:eastAsia="Malgun Gothic"/>
          <w:sz w:val="22"/>
          <w:szCs w:val="22"/>
          <w:lang w:val="en-US" w:eastAsia="en-US"/>
        </w:rPr>
        <w:t>NR-NTN deployment in above 10 GHz bands</w:t>
      </w:r>
      <w:r w:rsidR="00A956C0">
        <w:rPr>
          <w:rFonts w:eastAsia="Malgun Gothic"/>
          <w:sz w:val="22"/>
          <w:szCs w:val="22"/>
          <w:lang w:val="en-US" w:eastAsia="en-US"/>
        </w:rPr>
        <w:t>.</w:t>
      </w:r>
    </w:p>
    <w:p w14:paraId="2F7EA428" w14:textId="286C57C4" w:rsidR="00A956C0" w:rsidRDefault="00A956C0" w:rsidP="007D245A">
      <w:pPr>
        <w:spacing w:after="120"/>
        <w:jc w:val="both"/>
        <w:rPr>
          <w:rFonts w:eastAsia="Malgun Gothic"/>
          <w:sz w:val="22"/>
          <w:szCs w:val="22"/>
          <w:lang w:val="en-US" w:eastAsia="en-US"/>
        </w:rPr>
      </w:pPr>
    </w:p>
    <w:p w14:paraId="5F6FCDBF" w14:textId="530EF88F" w:rsidR="00A956C0" w:rsidRPr="00A956C0" w:rsidRDefault="00A956C0" w:rsidP="00A956C0">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A956C0">
        <w:rPr>
          <w:rFonts w:ascii="Times New Roman" w:eastAsia="Batang" w:hAnsi="Times New Roman" w:cs="Times New Roman"/>
          <w:bCs w:val="0"/>
          <w:lang w:val="en-US" w:eastAsia="ko-KR"/>
        </w:rPr>
        <w:t>Background:</w:t>
      </w:r>
    </w:p>
    <w:p w14:paraId="731C7BBE" w14:textId="2103E830" w:rsidR="00A956C0" w:rsidRDefault="00A956C0" w:rsidP="007D245A">
      <w:pPr>
        <w:spacing w:after="120"/>
        <w:jc w:val="both"/>
        <w:rPr>
          <w:rFonts w:eastAsia="Malgun Gothic"/>
          <w:sz w:val="22"/>
          <w:szCs w:val="22"/>
          <w:lang w:val="en-US" w:eastAsia="en-US"/>
        </w:rPr>
      </w:pPr>
      <w:r w:rsidRPr="00A956C0">
        <w:rPr>
          <w:rFonts w:eastAsia="Malgun Gothic"/>
          <w:noProof/>
          <w:sz w:val="22"/>
          <w:szCs w:val="22"/>
          <w:lang w:val="en-US" w:eastAsia="en-US"/>
        </w:rPr>
        <mc:AlternateContent>
          <mc:Choice Requires="wps">
            <w:drawing>
              <wp:anchor distT="45720" distB="45720" distL="114300" distR="114300" simplePos="0" relativeHeight="251729920" behindDoc="0" locked="0" layoutInCell="1" allowOverlap="1" wp14:anchorId="46ABC013" wp14:editId="42056F5F">
                <wp:simplePos x="0" y="0"/>
                <wp:positionH relativeFrom="column">
                  <wp:posOffset>24765</wp:posOffset>
                </wp:positionH>
                <wp:positionV relativeFrom="paragraph">
                  <wp:posOffset>578485</wp:posOffset>
                </wp:positionV>
                <wp:extent cx="5822315" cy="1311275"/>
                <wp:effectExtent l="0" t="0" r="2603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315" cy="1311275"/>
                        </a:xfrm>
                        <a:prstGeom prst="rect">
                          <a:avLst/>
                        </a:prstGeom>
                        <a:solidFill>
                          <a:srgbClr val="FFFFFF"/>
                        </a:solidFill>
                        <a:ln w="9525">
                          <a:solidFill>
                            <a:srgbClr val="000000"/>
                          </a:solidFill>
                          <a:miter lim="800000"/>
                          <a:headEnd/>
                          <a:tailEnd/>
                        </a:ln>
                      </wps:spPr>
                      <wps:txbx>
                        <w:txbxContent>
                          <w:p w14:paraId="38D39C1A" w14:textId="4DCDF028" w:rsidR="00A956C0" w:rsidRPr="00956195" w:rsidRDefault="00A956C0" w:rsidP="00A956C0">
                            <w:pPr>
                              <w:rPr>
                                <w:b/>
                                <w:sz w:val="18"/>
                                <w:szCs w:val="18"/>
                              </w:rPr>
                            </w:pPr>
                            <w:r w:rsidRPr="00956195">
                              <w:rPr>
                                <w:b/>
                                <w:sz w:val="18"/>
                                <w:szCs w:val="18"/>
                              </w:rPr>
                              <w:t>Observation</w:t>
                            </w:r>
                          </w:p>
                          <w:p w14:paraId="2918696A" w14:textId="77777777" w:rsidR="00A956C0" w:rsidRPr="00956195" w:rsidRDefault="00A956C0" w:rsidP="00A956C0">
                            <w:pPr>
                              <w:pStyle w:val="ListParagraph"/>
                              <w:ind w:leftChars="0" w:left="0"/>
                              <w:rPr>
                                <w:sz w:val="18"/>
                                <w:szCs w:val="18"/>
                              </w:rPr>
                            </w:pPr>
                            <w:r w:rsidRPr="00956195">
                              <w:rPr>
                                <w:sz w:val="18"/>
                                <w:szCs w:val="18"/>
                              </w:rPr>
                              <w:t>There is potential RAN1 discussion on the following aspects to support the RAN4 work on NTN above 10 GHz:</w:t>
                            </w:r>
                          </w:p>
                          <w:p w14:paraId="2890C46D" w14:textId="77777777" w:rsidR="00A956C0" w:rsidRPr="00956195" w:rsidRDefault="00A956C0" w:rsidP="00A956C0">
                            <w:pPr>
                              <w:pStyle w:val="ListParagraph"/>
                              <w:numPr>
                                <w:ilvl w:val="0"/>
                                <w:numId w:val="16"/>
                              </w:numPr>
                              <w:ind w:leftChars="0"/>
                              <w:rPr>
                                <w:sz w:val="18"/>
                                <w:szCs w:val="18"/>
                              </w:rPr>
                            </w:pPr>
                            <w:r w:rsidRPr="00956195">
                              <w:rPr>
                                <w:sz w:val="18"/>
                                <w:szCs w:val="18"/>
                              </w:rPr>
                              <w:t>PRACH configuration</w:t>
                            </w:r>
                          </w:p>
                          <w:p w14:paraId="54CC56EC" w14:textId="77777777" w:rsidR="00A956C0" w:rsidRPr="00956195" w:rsidRDefault="00A956C0" w:rsidP="00A956C0">
                            <w:pPr>
                              <w:pStyle w:val="ListParagraph"/>
                              <w:numPr>
                                <w:ilvl w:val="0"/>
                                <w:numId w:val="16"/>
                              </w:numPr>
                              <w:ind w:leftChars="0"/>
                              <w:rPr>
                                <w:sz w:val="18"/>
                                <w:szCs w:val="18"/>
                              </w:rPr>
                            </w:pPr>
                            <w:r w:rsidRPr="00956195">
                              <w:rPr>
                                <w:sz w:val="18"/>
                                <w:szCs w:val="18"/>
                              </w:rPr>
                              <w:t>UE autonomous timing advance in connection with transmit timing errors and their associated requirements.</w:t>
                            </w:r>
                          </w:p>
                          <w:p w14:paraId="3E2F86F5" w14:textId="77777777" w:rsidR="00A956C0" w:rsidRPr="00956195" w:rsidRDefault="00A956C0" w:rsidP="00A956C0">
                            <w:pPr>
                              <w:pStyle w:val="ListParagraph"/>
                              <w:numPr>
                                <w:ilvl w:val="0"/>
                                <w:numId w:val="16"/>
                              </w:numPr>
                              <w:ind w:leftChars="0"/>
                              <w:rPr>
                                <w:sz w:val="18"/>
                                <w:szCs w:val="18"/>
                              </w:rPr>
                            </w:pPr>
                            <w:r w:rsidRPr="00956195">
                              <w:rPr>
                                <w:sz w:val="18"/>
                                <w:szCs w:val="18"/>
                              </w:rPr>
                              <w:t xml:space="preserve"> Timing issues, e.g. MAC-CE application time in case of VSAT antenna for NR over NTN</w:t>
                            </w:r>
                          </w:p>
                          <w:p w14:paraId="40593C12" w14:textId="77777777" w:rsidR="00A956C0" w:rsidRPr="00956195" w:rsidRDefault="00A956C0" w:rsidP="00A956C0">
                            <w:pPr>
                              <w:pStyle w:val="ListParagraph"/>
                              <w:numPr>
                                <w:ilvl w:val="0"/>
                                <w:numId w:val="16"/>
                              </w:numPr>
                              <w:ind w:leftChars="0"/>
                              <w:rPr>
                                <w:sz w:val="18"/>
                                <w:szCs w:val="18"/>
                              </w:rPr>
                            </w:pPr>
                            <w:r w:rsidRPr="00956195">
                              <w:rPr>
                                <w:sz w:val="18"/>
                                <w:szCs w:val="18"/>
                              </w:rPr>
                              <w:t>Reference subcarrier spacing for FR2-NTN</w:t>
                            </w:r>
                          </w:p>
                          <w:p w14:paraId="3A625AED" w14:textId="77777777" w:rsidR="00A956C0" w:rsidRPr="00956195" w:rsidRDefault="00A956C0" w:rsidP="00A956C0">
                            <w:pPr>
                              <w:pStyle w:val="ListParagraph"/>
                              <w:numPr>
                                <w:ilvl w:val="0"/>
                                <w:numId w:val="16"/>
                              </w:numPr>
                              <w:ind w:leftChars="0"/>
                              <w:rPr>
                                <w:sz w:val="18"/>
                                <w:szCs w:val="18"/>
                              </w:rPr>
                            </w:pPr>
                            <w:r w:rsidRPr="00956195">
                              <w:rPr>
                                <w:rFonts w:hint="eastAsia"/>
                                <w:sz w:val="18"/>
                                <w:szCs w:val="18"/>
                              </w:rPr>
                              <w:t>P</w:t>
                            </w:r>
                            <w:r w:rsidRPr="00956195">
                              <w:rPr>
                                <w:sz w:val="18"/>
                                <w:szCs w:val="18"/>
                              </w:rPr>
                              <w:t>otential specification impact</w:t>
                            </w:r>
                          </w:p>
                          <w:p w14:paraId="6A470E83" w14:textId="77777777" w:rsidR="00A956C0" w:rsidRPr="00956195" w:rsidRDefault="00A956C0" w:rsidP="00A956C0">
                            <w:pPr>
                              <w:pStyle w:val="ListParagraph"/>
                              <w:tabs>
                                <w:tab w:val="left" w:pos="1080"/>
                              </w:tabs>
                              <w:ind w:leftChars="0" w:left="0"/>
                              <w:rPr>
                                <w:sz w:val="18"/>
                                <w:szCs w:val="18"/>
                              </w:rPr>
                            </w:pPr>
                            <w:r w:rsidRPr="00956195">
                              <w:rPr>
                                <w:sz w:val="18"/>
                                <w:szCs w:val="18"/>
                              </w:rPr>
                              <w:t>No RAN1 specification impact is foreseen on channel raster and synchronization raster for NTN above 10 GHz.</w:t>
                            </w:r>
                          </w:p>
                          <w:p w14:paraId="6DBCB458" w14:textId="66971A04" w:rsidR="00A956C0" w:rsidRPr="00956195" w:rsidRDefault="00A956C0">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ABC013" id="_x0000_t202" coordsize="21600,21600" o:spt="202" path="m,l,21600r21600,l21600,xe">
                <v:stroke joinstyle="miter"/>
                <v:path gradientshapeok="t" o:connecttype="rect"/>
              </v:shapetype>
              <v:shape id="Text Box 2" o:spid="_x0000_s1026" type="#_x0000_t202" style="position:absolute;left:0;text-align:left;margin-left:1.95pt;margin-top:45.55pt;width:458.45pt;height:103.2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">
                <v:textbox>
                  <w:txbxContent>
                    <w:p w14:paraId="38D39C1A" w14:textId="4DCDF028" w:rsidR="00A956C0" w:rsidRPr="00956195" w:rsidRDefault="00A956C0" w:rsidP="00A956C0">
                      <w:pPr>
                        <w:rPr>
                          <w:b/>
                          <w:sz w:val="18"/>
                          <w:szCs w:val="18"/>
                        </w:rPr>
                      </w:pPr>
                      <w:r w:rsidRPr="00956195">
                        <w:rPr>
                          <w:b/>
                          <w:sz w:val="18"/>
                          <w:szCs w:val="18"/>
                        </w:rPr>
                        <w:t>Observation</w:t>
                      </w:r>
                    </w:p>
                    <w:p w14:paraId="2918696A" w14:textId="77777777" w:rsidR="00A956C0" w:rsidRPr="00956195" w:rsidRDefault="00A956C0" w:rsidP="00A956C0">
                      <w:pPr>
                        <w:pStyle w:val="ListParagraph"/>
                        <w:ind w:leftChars="0" w:left="0"/>
                        <w:rPr>
                          <w:sz w:val="18"/>
                          <w:szCs w:val="18"/>
                        </w:rPr>
                      </w:pPr>
                      <w:r w:rsidRPr="00956195">
                        <w:rPr>
                          <w:sz w:val="18"/>
                          <w:szCs w:val="18"/>
                        </w:rPr>
                        <w:t>There is potential RAN1 discussion on the following aspects to support the RAN4 work on NTN above 10 GHz:</w:t>
                      </w:r>
                    </w:p>
                    <w:p w14:paraId="2890C46D" w14:textId="77777777" w:rsidR="00A956C0" w:rsidRPr="00956195" w:rsidRDefault="00A956C0" w:rsidP="00A956C0">
                      <w:pPr>
                        <w:pStyle w:val="ListParagraph"/>
                        <w:numPr>
                          <w:ilvl w:val="0"/>
                          <w:numId w:val="16"/>
                        </w:numPr>
                        <w:ind w:leftChars="0"/>
                        <w:rPr>
                          <w:sz w:val="18"/>
                          <w:szCs w:val="18"/>
                        </w:rPr>
                      </w:pPr>
                      <w:r w:rsidRPr="00956195">
                        <w:rPr>
                          <w:sz w:val="18"/>
                          <w:szCs w:val="18"/>
                        </w:rPr>
                        <w:t>PRACH configuration</w:t>
                      </w:r>
                    </w:p>
                    <w:p w14:paraId="54CC56EC" w14:textId="77777777" w:rsidR="00A956C0" w:rsidRPr="00956195" w:rsidRDefault="00A956C0" w:rsidP="00A956C0">
                      <w:pPr>
                        <w:pStyle w:val="ListParagraph"/>
                        <w:numPr>
                          <w:ilvl w:val="0"/>
                          <w:numId w:val="16"/>
                        </w:numPr>
                        <w:ind w:leftChars="0"/>
                        <w:rPr>
                          <w:sz w:val="18"/>
                          <w:szCs w:val="18"/>
                        </w:rPr>
                      </w:pPr>
                      <w:r w:rsidRPr="00956195">
                        <w:rPr>
                          <w:sz w:val="18"/>
                          <w:szCs w:val="18"/>
                        </w:rPr>
                        <w:t>UE autonomous timing advance in connection with transmit timing errors and their associated requirements.</w:t>
                      </w:r>
                    </w:p>
                    <w:p w14:paraId="3E2F86F5" w14:textId="77777777" w:rsidR="00A956C0" w:rsidRPr="00956195" w:rsidRDefault="00A956C0" w:rsidP="00A956C0">
                      <w:pPr>
                        <w:pStyle w:val="ListParagraph"/>
                        <w:numPr>
                          <w:ilvl w:val="0"/>
                          <w:numId w:val="16"/>
                        </w:numPr>
                        <w:ind w:leftChars="0"/>
                        <w:rPr>
                          <w:sz w:val="18"/>
                          <w:szCs w:val="18"/>
                        </w:rPr>
                      </w:pPr>
                      <w:r w:rsidRPr="00956195">
                        <w:rPr>
                          <w:sz w:val="18"/>
                          <w:szCs w:val="18"/>
                        </w:rPr>
                        <w:t xml:space="preserve"> Timing issues, </w:t>
                      </w:r>
                      <w:proofErr w:type="gramStart"/>
                      <w:r w:rsidRPr="00956195">
                        <w:rPr>
                          <w:sz w:val="18"/>
                          <w:szCs w:val="18"/>
                        </w:rPr>
                        <w:t>e.g.</w:t>
                      </w:r>
                      <w:proofErr w:type="gramEnd"/>
                      <w:r w:rsidRPr="00956195">
                        <w:rPr>
                          <w:sz w:val="18"/>
                          <w:szCs w:val="18"/>
                        </w:rPr>
                        <w:t xml:space="preserve"> MAC-CE application time in case of VSAT antenna for NR over NTN</w:t>
                      </w:r>
                    </w:p>
                    <w:p w14:paraId="40593C12" w14:textId="77777777" w:rsidR="00A956C0" w:rsidRPr="00956195" w:rsidRDefault="00A956C0" w:rsidP="00A956C0">
                      <w:pPr>
                        <w:pStyle w:val="ListParagraph"/>
                        <w:numPr>
                          <w:ilvl w:val="0"/>
                          <w:numId w:val="16"/>
                        </w:numPr>
                        <w:ind w:leftChars="0"/>
                        <w:rPr>
                          <w:sz w:val="18"/>
                          <w:szCs w:val="18"/>
                        </w:rPr>
                      </w:pPr>
                      <w:r w:rsidRPr="00956195">
                        <w:rPr>
                          <w:sz w:val="18"/>
                          <w:szCs w:val="18"/>
                        </w:rPr>
                        <w:t>Reference subcarrier spacing for FR2-NTN</w:t>
                      </w:r>
                    </w:p>
                    <w:p w14:paraId="3A625AED" w14:textId="77777777" w:rsidR="00A956C0" w:rsidRPr="00956195" w:rsidRDefault="00A956C0" w:rsidP="00A956C0">
                      <w:pPr>
                        <w:pStyle w:val="ListParagraph"/>
                        <w:numPr>
                          <w:ilvl w:val="0"/>
                          <w:numId w:val="16"/>
                        </w:numPr>
                        <w:ind w:leftChars="0"/>
                        <w:rPr>
                          <w:sz w:val="18"/>
                          <w:szCs w:val="18"/>
                        </w:rPr>
                      </w:pPr>
                      <w:r w:rsidRPr="00956195">
                        <w:rPr>
                          <w:rFonts w:hint="eastAsia"/>
                          <w:sz w:val="18"/>
                          <w:szCs w:val="18"/>
                        </w:rPr>
                        <w:t>P</w:t>
                      </w:r>
                      <w:r w:rsidRPr="00956195">
                        <w:rPr>
                          <w:sz w:val="18"/>
                          <w:szCs w:val="18"/>
                        </w:rPr>
                        <w:t>otential specification impact</w:t>
                      </w:r>
                    </w:p>
                    <w:p w14:paraId="6A470E83" w14:textId="77777777" w:rsidR="00A956C0" w:rsidRPr="00956195" w:rsidRDefault="00A956C0" w:rsidP="00A956C0">
                      <w:pPr>
                        <w:pStyle w:val="ListParagraph"/>
                        <w:tabs>
                          <w:tab w:val="left" w:pos="1080"/>
                        </w:tabs>
                        <w:ind w:leftChars="0" w:left="0"/>
                        <w:rPr>
                          <w:sz w:val="18"/>
                          <w:szCs w:val="18"/>
                        </w:rPr>
                      </w:pPr>
                      <w:r w:rsidRPr="00956195">
                        <w:rPr>
                          <w:sz w:val="18"/>
                          <w:szCs w:val="18"/>
                        </w:rPr>
                        <w:t>No RAN1 specification impact is foreseen on channel raster and synchronization raster for NTN above 10 GHz.</w:t>
                      </w:r>
                    </w:p>
                    <w:p w14:paraId="6DBCB458" w14:textId="66971A04" w:rsidR="00A956C0" w:rsidRPr="00956195" w:rsidRDefault="00A956C0">
                      <w:pPr>
                        <w:rPr>
                          <w:sz w:val="18"/>
                          <w:szCs w:val="18"/>
                        </w:rPr>
                      </w:pPr>
                    </w:p>
                  </w:txbxContent>
                </v:textbox>
                <w10:wrap type="square"/>
              </v:shape>
            </w:pict>
          </mc:Fallback>
        </mc:AlternateContent>
      </w:r>
      <w:r>
        <w:rPr>
          <w:rFonts w:eastAsia="Malgun Gothic"/>
          <w:sz w:val="22"/>
          <w:szCs w:val="22"/>
          <w:lang w:val="en-US" w:eastAsia="en-US"/>
        </w:rPr>
        <w:t xml:space="preserve">RAN4 sent an LS to RAN1 and RAN2 </w:t>
      </w:r>
      <w:r w:rsidRPr="00A956C0">
        <w:rPr>
          <w:rFonts w:eastAsia="Malgun Gothic"/>
          <w:sz w:val="22"/>
          <w:szCs w:val="22"/>
          <w:lang w:val="en-US" w:eastAsia="en-US"/>
        </w:rPr>
        <w:t>on the system parameters for NTN above 10 GHz</w:t>
      </w:r>
      <w:r>
        <w:rPr>
          <w:rFonts w:eastAsia="Malgun Gothic"/>
          <w:sz w:val="22"/>
          <w:szCs w:val="22"/>
          <w:lang w:val="en-US" w:eastAsia="en-US"/>
        </w:rPr>
        <w:t xml:space="preserve">  [2]. The LS was discussed in RAN1#114 and the following observation was made:</w:t>
      </w:r>
    </w:p>
    <w:p w14:paraId="4CA45DB3" w14:textId="017D1421" w:rsidR="00A956C0" w:rsidRDefault="00A956C0" w:rsidP="007D245A">
      <w:pPr>
        <w:spacing w:after="120"/>
        <w:jc w:val="both"/>
        <w:rPr>
          <w:rFonts w:eastAsia="Malgun Gothic"/>
          <w:sz w:val="22"/>
          <w:szCs w:val="22"/>
          <w:lang w:val="en-US" w:eastAsia="en-US"/>
        </w:rPr>
      </w:pPr>
    </w:p>
    <w:p w14:paraId="003F85B6" w14:textId="269D374E" w:rsidR="00A956C0" w:rsidRDefault="00A956C0" w:rsidP="007D245A">
      <w:pPr>
        <w:spacing w:after="120"/>
        <w:jc w:val="both"/>
        <w:rPr>
          <w:rFonts w:eastAsia="Malgun Gothic"/>
          <w:sz w:val="22"/>
          <w:szCs w:val="22"/>
          <w:lang w:val="en-US" w:eastAsia="en-US"/>
        </w:rPr>
      </w:pPr>
      <w:r w:rsidRPr="00A956C0">
        <w:rPr>
          <w:rFonts w:eastAsia="Malgun Gothic"/>
          <w:noProof/>
          <w:sz w:val="22"/>
          <w:szCs w:val="22"/>
          <w:lang w:val="en-US" w:eastAsia="en-US"/>
        </w:rPr>
        <mc:AlternateContent>
          <mc:Choice Requires="wps">
            <w:drawing>
              <wp:anchor distT="45720" distB="45720" distL="114300" distR="114300" simplePos="0" relativeHeight="251731968" behindDoc="0" locked="0" layoutInCell="1" allowOverlap="1" wp14:anchorId="5D83470E" wp14:editId="35B85836">
                <wp:simplePos x="0" y="0"/>
                <wp:positionH relativeFrom="margin">
                  <wp:align>right</wp:align>
                </wp:positionH>
                <wp:positionV relativeFrom="paragraph">
                  <wp:posOffset>310515</wp:posOffset>
                </wp:positionV>
                <wp:extent cx="5918200" cy="2647315"/>
                <wp:effectExtent l="0" t="0" r="25400" b="1968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2647315"/>
                        </a:xfrm>
                        <a:prstGeom prst="rect">
                          <a:avLst/>
                        </a:prstGeom>
                        <a:solidFill>
                          <a:srgbClr val="FFFFFF"/>
                        </a:solidFill>
                        <a:ln w="9525">
                          <a:solidFill>
                            <a:srgbClr val="000000"/>
                          </a:solidFill>
                          <a:miter lim="800000"/>
                          <a:headEnd/>
                          <a:tailEnd/>
                        </a:ln>
                      </wps:spPr>
                      <wps:txbx>
                        <w:txbxContent>
                          <w:p w14:paraId="668CF616" w14:textId="77777777" w:rsidR="00A956C0" w:rsidRPr="00956195" w:rsidRDefault="00A956C0" w:rsidP="00A956C0">
                            <w:pPr>
                              <w:spacing w:after="120"/>
                              <w:jc w:val="both"/>
                              <w:rPr>
                                <w:rFonts w:eastAsia="Malgun Gothic"/>
                                <w:sz w:val="18"/>
                                <w:szCs w:val="18"/>
                                <w:lang w:val="en-US" w:eastAsia="en-US"/>
                              </w:rPr>
                            </w:pPr>
                            <w:r w:rsidRPr="00A956C0">
                              <w:rPr>
                                <w:rFonts w:eastAsia="Malgun Gothic"/>
                                <w:sz w:val="18"/>
                                <w:szCs w:val="18"/>
                                <w:lang w:val="en-US" w:eastAsia="en-US"/>
                              </w:rPr>
                              <w:t>Proposal 1: As part of the NR-NTN-enh WID, RAN4 shall work on the definition of RRM requirements considering the following</w:t>
                            </w:r>
                            <w:r w:rsidRPr="00956195">
                              <w:rPr>
                                <w:rFonts w:eastAsia="Malgun Gothic"/>
                                <w:sz w:val="18"/>
                                <w:szCs w:val="18"/>
                                <w:lang w:val="en-US" w:eastAsia="en-US"/>
                              </w:rPr>
                              <w:t xml:space="preserve"> </w:t>
                            </w:r>
                            <w:r w:rsidRPr="00A956C0">
                              <w:rPr>
                                <w:rFonts w:eastAsia="Malgun Gothic"/>
                                <w:sz w:val="18"/>
                                <w:szCs w:val="18"/>
                                <w:lang w:val="en-US" w:eastAsia="en-US"/>
                              </w:rPr>
                              <w:t xml:space="preserve">cases: </w:t>
                            </w:r>
                          </w:p>
                          <w:p w14:paraId="48C989D3" w14:textId="77777777" w:rsidR="00A956C0" w:rsidRPr="00956195" w:rsidRDefault="00A956C0" w:rsidP="00A956C0">
                            <w:pPr>
                              <w:pStyle w:val="ListParagraph"/>
                              <w:numPr>
                                <w:ilvl w:val="0"/>
                                <w:numId w:val="17"/>
                              </w:numPr>
                              <w:spacing w:after="120"/>
                              <w:ind w:leftChars="0"/>
                              <w:jc w:val="both"/>
                              <w:rPr>
                                <w:rFonts w:eastAsia="Malgun Gothic"/>
                                <w:sz w:val="18"/>
                                <w:szCs w:val="18"/>
                                <w:lang w:val="en-US" w:eastAsia="en-US"/>
                              </w:rPr>
                            </w:pPr>
                            <w:r w:rsidRPr="00956195">
                              <w:rPr>
                                <w:rFonts w:eastAsia="Malgun Gothic"/>
                                <w:sz w:val="18"/>
                                <w:szCs w:val="18"/>
                                <w:lang w:val="en-US" w:eastAsia="en-US"/>
                              </w:rPr>
                              <w:t>Case-1: Stationary UE for GSO; Case-2: Stationary UE for LEO; Case-3: Mobile UE for GSO</w:t>
                            </w:r>
                          </w:p>
                          <w:p w14:paraId="76B949B4" w14:textId="7DE7A1AE" w:rsidR="00A956C0" w:rsidRPr="00956195" w:rsidRDefault="00A956C0" w:rsidP="00A956C0">
                            <w:pPr>
                              <w:pStyle w:val="ListParagraph"/>
                              <w:numPr>
                                <w:ilvl w:val="0"/>
                                <w:numId w:val="17"/>
                              </w:numPr>
                              <w:spacing w:after="120"/>
                              <w:ind w:leftChars="0"/>
                              <w:jc w:val="both"/>
                              <w:rPr>
                                <w:rFonts w:eastAsia="Malgun Gothic"/>
                                <w:sz w:val="18"/>
                                <w:szCs w:val="18"/>
                                <w:lang w:val="en-US" w:eastAsia="en-US"/>
                              </w:rPr>
                            </w:pPr>
                            <w:r w:rsidRPr="00956195">
                              <w:rPr>
                                <w:rFonts w:eastAsia="Malgun Gothic"/>
                                <w:sz w:val="18"/>
                                <w:szCs w:val="18"/>
                                <w:lang w:val="en-US" w:eastAsia="en-US"/>
                              </w:rPr>
                              <w:t>UE architectures: Fully electronically-steered beam UEs (Type 1); Fully mechanically-steered beam UEs (Type 2)</w:t>
                            </w:r>
                          </w:p>
                          <w:p w14:paraId="4CB95E1B" w14:textId="77777777" w:rsidR="00A956C0" w:rsidRPr="00A956C0" w:rsidRDefault="00A956C0" w:rsidP="00A956C0">
                            <w:pPr>
                              <w:spacing w:after="120"/>
                              <w:jc w:val="both"/>
                              <w:rPr>
                                <w:rFonts w:eastAsia="Malgun Gothic"/>
                                <w:sz w:val="18"/>
                                <w:szCs w:val="18"/>
                                <w:lang w:eastAsia="en-US"/>
                              </w:rPr>
                            </w:pPr>
                            <w:r w:rsidRPr="00A956C0">
                              <w:rPr>
                                <w:rFonts w:eastAsia="Malgun Gothic" w:hint="eastAsia"/>
                                <w:sz w:val="18"/>
                                <w:szCs w:val="18"/>
                                <w:lang w:val="fr-FR" w:eastAsia="en-US"/>
                              </w:rPr>
                              <w:t xml:space="preserve">Proposal 2: RAN recommends RAN4 to define the following </w:t>
                            </w:r>
                            <w:r w:rsidRPr="00A956C0">
                              <w:rPr>
                                <w:rFonts w:eastAsia="Malgun Gothic" w:hint="eastAsia"/>
                                <w:sz w:val="18"/>
                                <w:szCs w:val="18"/>
                                <w:lang w:val="en-US" w:eastAsia="en-US"/>
                              </w:rPr>
                              <w:t xml:space="preserve">RRM requirements for example band (Ka band) in the table below as baseline. </w:t>
                            </w:r>
                          </w:p>
                          <w:p w14:paraId="530D42C3" w14:textId="77777777" w:rsidR="00A956C0" w:rsidRPr="00956195" w:rsidRDefault="00A956C0" w:rsidP="00A956C0">
                            <w:pPr>
                              <w:pStyle w:val="ListParagraph"/>
                              <w:numPr>
                                <w:ilvl w:val="0"/>
                                <w:numId w:val="19"/>
                              </w:numPr>
                              <w:spacing w:after="120"/>
                              <w:ind w:leftChars="0"/>
                              <w:jc w:val="both"/>
                              <w:rPr>
                                <w:rFonts w:eastAsia="Malgun Gothic"/>
                                <w:sz w:val="18"/>
                                <w:szCs w:val="18"/>
                                <w:lang w:eastAsia="en-US"/>
                              </w:rPr>
                            </w:pPr>
                            <w:r w:rsidRPr="00956195">
                              <w:rPr>
                                <w:rFonts w:eastAsia="Malgun Gothic"/>
                                <w:sz w:val="18"/>
                                <w:szCs w:val="18"/>
                                <w:lang w:eastAsia="en-US"/>
                              </w:rPr>
                              <w:t>The following assumptions (applicable to Type 1 and Type 2 terminals) are used for R18 RRM requirements</w:t>
                            </w:r>
                          </w:p>
                          <w:p w14:paraId="3EC71A3E" w14:textId="77777777" w:rsidR="00A956C0" w:rsidRPr="00956195" w:rsidRDefault="00A956C0" w:rsidP="00A956C0">
                            <w:pPr>
                              <w:pStyle w:val="ListParagraph"/>
                              <w:numPr>
                                <w:ilvl w:val="1"/>
                                <w:numId w:val="19"/>
                              </w:numPr>
                              <w:spacing w:after="120"/>
                              <w:ind w:leftChars="0"/>
                              <w:jc w:val="both"/>
                              <w:rPr>
                                <w:rFonts w:eastAsia="Malgun Gothic"/>
                                <w:sz w:val="18"/>
                                <w:szCs w:val="18"/>
                                <w:lang w:eastAsia="en-US"/>
                              </w:rPr>
                            </w:pPr>
                            <w:r w:rsidRPr="00956195">
                              <w:rPr>
                                <w:rFonts w:eastAsia="Malgun Gothic"/>
                                <w:sz w:val="18"/>
                                <w:szCs w:val="18"/>
                                <w:lang w:eastAsia="en-US"/>
                              </w:rPr>
                              <w:t>single SAN Tx beam per radio cell in DL</w:t>
                            </w:r>
                          </w:p>
                          <w:p w14:paraId="77468979" w14:textId="77777777" w:rsidR="00A956C0" w:rsidRPr="00956195" w:rsidRDefault="00A956C0" w:rsidP="00A956C0">
                            <w:pPr>
                              <w:pStyle w:val="ListParagraph"/>
                              <w:numPr>
                                <w:ilvl w:val="1"/>
                                <w:numId w:val="19"/>
                              </w:numPr>
                              <w:spacing w:after="120"/>
                              <w:ind w:leftChars="0"/>
                              <w:jc w:val="both"/>
                              <w:rPr>
                                <w:rFonts w:eastAsia="Malgun Gothic"/>
                                <w:sz w:val="18"/>
                                <w:szCs w:val="18"/>
                                <w:lang w:eastAsia="en-US"/>
                              </w:rPr>
                            </w:pPr>
                            <w:r w:rsidRPr="00956195">
                              <w:rPr>
                                <w:rFonts w:eastAsia="Malgun Gothic"/>
                                <w:sz w:val="18"/>
                                <w:szCs w:val="18"/>
                                <w:lang w:eastAsia="en-US"/>
                              </w:rPr>
                              <w:t>For inter satellite HO, only blind HO and no neighbor cell measurement</w:t>
                            </w:r>
                          </w:p>
                          <w:p w14:paraId="6814D5B3" w14:textId="77777777" w:rsidR="00A956C0" w:rsidRPr="00956195" w:rsidRDefault="00A956C0" w:rsidP="00956195">
                            <w:pPr>
                              <w:pStyle w:val="ListParagraph"/>
                              <w:numPr>
                                <w:ilvl w:val="2"/>
                                <w:numId w:val="19"/>
                              </w:numPr>
                              <w:spacing w:after="120"/>
                              <w:ind w:leftChars="0"/>
                              <w:jc w:val="both"/>
                              <w:rPr>
                                <w:rFonts w:eastAsia="Malgun Gothic"/>
                                <w:sz w:val="18"/>
                                <w:szCs w:val="18"/>
                                <w:lang w:eastAsia="en-US"/>
                              </w:rPr>
                            </w:pPr>
                            <w:r w:rsidRPr="00956195">
                              <w:rPr>
                                <w:rFonts w:eastAsia="Malgun Gothic"/>
                                <w:sz w:val="18"/>
                                <w:szCs w:val="18"/>
                                <w:lang w:eastAsia="en-US"/>
                              </w:rPr>
                              <w:t xml:space="preserve">Blind HO assumption for type 1 UE can be revisited if issue is identified in RAN4 </w:t>
                            </w:r>
                          </w:p>
                          <w:p w14:paraId="02571FDA" w14:textId="77777777" w:rsidR="00A956C0" w:rsidRPr="00956195" w:rsidRDefault="00A956C0" w:rsidP="00A956C0">
                            <w:pPr>
                              <w:pStyle w:val="ListParagraph"/>
                              <w:numPr>
                                <w:ilvl w:val="1"/>
                                <w:numId w:val="19"/>
                              </w:numPr>
                              <w:spacing w:after="120"/>
                              <w:ind w:leftChars="0"/>
                              <w:jc w:val="both"/>
                              <w:rPr>
                                <w:rFonts w:eastAsia="Malgun Gothic"/>
                                <w:sz w:val="18"/>
                                <w:szCs w:val="18"/>
                                <w:lang w:eastAsia="en-US"/>
                              </w:rPr>
                            </w:pPr>
                            <w:r w:rsidRPr="00956195">
                              <w:rPr>
                                <w:rFonts w:eastAsia="Malgun Gothic"/>
                                <w:sz w:val="18"/>
                                <w:szCs w:val="18"/>
                                <w:lang w:eastAsia="en-US"/>
                              </w:rPr>
                              <w:t>Intra-sat neighbor cell measurement is needed</w:t>
                            </w:r>
                          </w:p>
                          <w:p w14:paraId="3A328506" w14:textId="636DB048" w:rsidR="00A956C0" w:rsidRPr="00956195" w:rsidRDefault="00A956C0" w:rsidP="00A956C0">
                            <w:pPr>
                              <w:pStyle w:val="ListParagraph"/>
                              <w:numPr>
                                <w:ilvl w:val="1"/>
                                <w:numId w:val="19"/>
                              </w:numPr>
                              <w:spacing w:after="120"/>
                              <w:ind w:leftChars="0"/>
                              <w:jc w:val="both"/>
                              <w:rPr>
                                <w:rFonts w:eastAsia="Malgun Gothic"/>
                                <w:sz w:val="18"/>
                                <w:szCs w:val="18"/>
                                <w:lang w:eastAsia="en-US"/>
                              </w:rPr>
                            </w:pPr>
                            <w:r w:rsidRPr="00956195">
                              <w:rPr>
                                <w:rFonts w:eastAsia="Malgun Gothic"/>
                                <w:sz w:val="18"/>
                                <w:szCs w:val="18"/>
                                <w:lang w:eastAsia="en-US"/>
                              </w:rPr>
                              <w:t>Same UE Rx beam is used for both serving and neighboring cells which belong to the same sat. (i.e. no Rx beam sweeping)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3470E" id="_x0000_s1027" type="#_x0000_t202" style="position:absolute;left:0;text-align:left;margin-left:414.8pt;margin-top:24.45pt;width:466pt;height:208.45pt;z-index:2517319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">
                <v:textbox>
                  <w:txbxContent>
                    <w:p w14:paraId="668CF616" w14:textId="77777777" w:rsidR="00A956C0" w:rsidRPr="00956195" w:rsidRDefault="00A956C0" w:rsidP="00A956C0">
                      <w:pPr>
                        <w:spacing w:after="120"/>
                        <w:jc w:val="both"/>
                        <w:rPr>
                          <w:rFonts w:eastAsia="Malgun Gothic"/>
                          <w:sz w:val="18"/>
                          <w:szCs w:val="18"/>
                          <w:lang w:val="en-US" w:eastAsia="en-US"/>
                        </w:rPr>
                      </w:pPr>
                      <w:r w:rsidRPr="00A956C0">
                        <w:rPr>
                          <w:rFonts w:eastAsia="Malgun Gothic"/>
                          <w:sz w:val="18"/>
                          <w:szCs w:val="18"/>
                          <w:lang w:val="en-US" w:eastAsia="en-US"/>
                        </w:rPr>
                        <w:t>Proposal 1: As part of the NR-NTN-</w:t>
                      </w:r>
                      <w:proofErr w:type="spellStart"/>
                      <w:r w:rsidRPr="00A956C0">
                        <w:rPr>
                          <w:rFonts w:eastAsia="Malgun Gothic"/>
                          <w:sz w:val="18"/>
                          <w:szCs w:val="18"/>
                          <w:lang w:val="en-US" w:eastAsia="en-US"/>
                        </w:rPr>
                        <w:t>enh</w:t>
                      </w:r>
                      <w:proofErr w:type="spellEnd"/>
                      <w:r w:rsidRPr="00A956C0">
                        <w:rPr>
                          <w:rFonts w:eastAsia="Malgun Gothic"/>
                          <w:sz w:val="18"/>
                          <w:szCs w:val="18"/>
                          <w:lang w:val="en-US" w:eastAsia="en-US"/>
                        </w:rPr>
                        <w:t xml:space="preserve"> WID, RAN4 shall work on the definition of RRM requirements considering the following</w:t>
                      </w:r>
                      <w:r w:rsidRPr="00956195">
                        <w:rPr>
                          <w:rFonts w:eastAsia="Malgun Gothic"/>
                          <w:sz w:val="18"/>
                          <w:szCs w:val="18"/>
                          <w:lang w:val="en-US" w:eastAsia="en-US"/>
                        </w:rPr>
                        <w:t xml:space="preserve"> </w:t>
                      </w:r>
                      <w:r w:rsidRPr="00A956C0">
                        <w:rPr>
                          <w:rFonts w:eastAsia="Malgun Gothic"/>
                          <w:sz w:val="18"/>
                          <w:szCs w:val="18"/>
                          <w:lang w:val="en-US" w:eastAsia="en-US"/>
                        </w:rPr>
                        <w:t xml:space="preserve">cases: </w:t>
                      </w:r>
                    </w:p>
                    <w:p w14:paraId="48C989D3" w14:textId="77777777" w:rsidR="00A956C0" w:rsidRPr="00956195" w:rsidRDefault="00A956C0" w:rsidP="00A956C0">
                      <w:pPr>
                        <w:pStyle w:val="ListParagraph"/>
                        <w:numPr>
                          <w:ilvl w:val="0"/>
                          <w:numId w:val="17"/>
                        </w:numPr>
                        <w:spacing w:after="120"/>
                        <w:ind w:leftChars="0"/>
                        <w:jc w:val="both"/>
                        <w:rPr>
                          <w:rFonts w:eastAsia="Malgun Gothic"/>
                          <w:sz w:val="18"/>
                          <w:szCs w:val="18"/>
                          <w:lang w:val="en-US" w:eastAsia="en-US"/>
                        </w:rPr>
                      </w:pPr>
                      <w:r w:rsidRPr="00956195">
                        <w:rPr>
                          <w:rFonts w:eastAsia="Malgun Gothic"/>
                          <w:sz w:val="18"/>
                          <w:szCs w:val="18"/>
                          <w:lang w:val="en-US" w:eastAsia="en-US"/>
                        </w:rPr>
                        <w:t>Case-1: Stationary UE for GSO; Case-2: Stationary UE for LEO; Case-3: Mobile UE for GSO</w:t>
                      </w:r>
                    </w:p>
                    <w:p w14:paraId="76B949B4" w14:textId="7DE7A1AE" w:rsidR="00A956C0" w:rsidRPr="00956195" w:rsidRDefault="00A956C0" w:rsidP="00A956C0">
                      <w:pPr>
                        <w:pStyle w:val="ListParagraph"/>
                        <w:numPr>
                          <w:ilvl w:val="0"/>
                          <w:numId w:val="17"/>
                        </w:numPr>
                        <w:spacing w:after="120"/>
                        <w:ind w:leftChars="0"/>
                        <w:jc w:val="both"/>
                        <w:rPr>
                          <w:rFonts w:eastAsia="Malgun Gothic"/>
                          <w:sz w:val="18"/>
                          <w:szCs w:val="18"/>
                          <w:lang w:val="en-US" w:eastAsia="en-US"/>
                        </w:rPr>
                      </w:pPr>
                      <w:r w:rsidRPr="00956195">
                        <w:rPr>
                          <w:rFonts w:eastAsia="Malgun Gothic"/>
                          <w:sz w:val="18"/>
                          <w:szCs w:val="18"/>
                          <w:lang w:val="en-US" w:eastAsia="en-US"/>
                        </w:rPr>
                        <w:t xml:space="preserve">UE architectures: Fully </w:t>
                      </w:r>
                      <w:proofErr w:type="gramStart"/>
                      <w:r w:rsidRPr="00956195">
                        <w:rPr>
                          <w:rFonts w:eastAsia="Malgun Gothic"/>
                          <w:sz w:val="18"/>
                          <w:szCs w:val="18"/>
                          <w:lang w:val="en-US" w:eastAsia="en-US"/>
                        </w:rPr>
                        <w:t>electronically-steered</w:t>
                      </w:r>
                      <w:proofErr w:type="gramEnd"/>
                      <w:r w:rsidRPr="00956195">
                        <w:rPr>
                          <w:rFonts w:eastAsia="Malgun Gothic"/>
                          <w:sz w:val="18"/>
                          <w:szCs w:val="18"/>
                          <w:lang w:val="en-US" w:eastAsia="en-US"/>
                        </w:rPr>
                        <w:t xml:space="preserve"> beam UEs (Type 1); Fully mechanically-steered beam UEs (Type 2)</w:t>
                      </w:r>
                    </w:p>
                    <w:p w14:paraId="4CB95E1B" w14:textId="77777777" w:rsidR="00A956C0" w:rsidRPr="00A956C0" w:rsidRDefault="00A956C0" w:rsidP="00A956C0">
                      <w:pPr>
                        <w:spacing w:after="120"/>
                        <w:jc w:val="both"/>
                        <w:rPr>
                          <w:rFonts w:eastAsia="Malgun Gothic"/>
                          <w:sz w:val="18"/>
                          <w:szCs w:val="18"/>
                          <w:lang w:eastAsia="en-US"/>
                        </w:rPr>
                      </w:pPr>
                      <w:proofErr w:type="spellStart"/>
                      <w:r w:rsidRPr="00A956C0">
                        <w:rPr>
                          <w:rFonts w:eastAsia="Malgun Gothic" w:hint="eastAsia"/>
                          <w:sz w:val="18"/>
                          <w:szCs w:val="18"/>
                          <w:lang w:val="fr-FR" w:eastAsia="en-US"/>
                        </w:rPr>
                        <w:t>Proposal</w:t>
                      </w:r>
                      <w:proofErr w:type="spellEnd"/>
                      <w:r w:rsidRPr="00A956C0">
                        <w:rPr>
                          <w:rFonts w:eastAsia="Malgun Gothic" w:hint="eastAsia"/>
                          <w:sz w:val="18"/>
                          <w:szCs w:val="18"/>
                          <w:lang w:val="fr-FR" w:eastAsia="en-US"/>
                        </w:rPr>
                        <w:t xml:space="preserve"> </w:t>
                      </w:r>
                      <w:proofErr w:type="gramStart"/>
                      <w:r w:rsidRPr="00A956C0">
                        <w:rPr>
                          <w:rFonts w:eastAsia="Malgun Gothic" w:hint="eastAsia"/>
                          <w:sz w:val="18"/>
                          <w:szCs w:val="18"/>
                          <w:lang w:val="fr-FR" w:eastAsia="en-US"/>
                        </w:rPr>
                        <w:t>2:</w:t>
                      </w:r>
                      <w:proofErr w:type="gramEnd"/>
                      <w:r w:rsidRPr="00A956C0">
                        <w:rPr>
                          <w:rFonts w:eastAsia="Malgun Gothic" w:hint="eastAsia"/>
                          <w:sz w:val="18"/>
                          <w:szCs w:val="18"/>
                          <w:lang w:val="fr-FR" w:eastAsia="en-US"/>
                        </w:rPr>
                        <w:t xml:space="preserve"> RAN </w:t>
                      </w:r>
                      <w:proofErr w:type="spellStart"/>
                      <w:r w:rsidRPr="00A956C0">
                        <w:rPr>
                          <w:rFonts w:eastAsia="Malgun Gothic" w:hint="eastAsia"/>
                          <w:sz w:val="18"/>
                          <w:szCs w:val="18"/>
                          <w:lang w:val="fr-FR" w:eastAsia="en-US"/>
                        </w:rPr>
                        <w:t>recommends</w:t>
                      </w:r>
                      <w:proofErr w:type="spellEnd"/>
                      <w:r w:rsidRPr="00A956C0">
                        <w:rPr>
                          <w:rFonts w:eastAsia="Malgun Gothic" w:hint="eastAsia"/>
                          <w:sz w:val="18"/>
                          <w:szCs w:val="18"/>
                          <w:lang w:val="fr-FR" w:eastAsia="en-US"/>
                        </w:rPr>
                        <w:t xml:space="preserve"> RAN4 to </w:t>
                      </w:r>
                      <w:proofErr w:type="spellStart"/>
                      <w:r w:rsidRPr="00A956C0">
                        <w:rPr>
                          <w:rFonts w:eastAsia="Malgun Gothic" w:hint="eastAsia"/>
                          <w:sz w:val="18"/>
                          <w:szCs w:val="18"/>
                          <w:lang w:val="fr-FR" w:eastAsia="en-US"/>
                        </w:rPr>
                        <w:t>define</w:t>
                      </w:r>
                      <w:proofErr w:type="spellEnd"/>
                      <w:r w:rsidRPr="00A956C0">
                        <w:rPr>
                          <w:rFonts w:eastAsia="Malgun Gothic" w:hint="eastAsia"/>
                          <w:sz w:val="18"/>
                          <w:szCs w:val="18"/>
                          <w:lang w:val="fr-FR" w:eastAsia="en-US"/>
                        </w:rPr>
                        <w:t xml:space="preserve"> the </w:t>
                      </w:r>
                      <w:proofErr w:type="spellStart"/>
                      <w:r w:rsidRPr="00A956C0">
                        <w:rPr>
                          <w:rFonts w:eastAsia="Malgun Gothic" w:hint="eastAsia"/>
                          <w:sz w:val="18"/>
                          <w:szCs w:val="18"/>
                          <w:lang w:val="fr-FR" w:eastAsia="en-US"/>
                        </w:rPr>
                        <w:t>following</w:t>
                      </w:r>
                      <w:proofErr w:type="spellEnd"/>
                      <w:r w:rsidRPr="00A956C0">
                        <w:rPr>
                          <w:rFonts w:eastAsia="Malgun Gothic" w:hint="eastAsia"/>
                          <w:sz w:val="18"/>
                          <w:szCs w:val="18"/>
                          <w:lang w:val="fr-FR" w:eastAsia="en-US"/>
                        </w:rPr>
                        <w:t xml:space="preserve"> </w:t>
                      </w:r>
                      <w:r w:rsidRPr="00A956C0">
                        <w:rPr>
                          <w:rFonts w:eastAsia="Malgun Gothic" w:hint="eastAsia"/>
                          <w:sz w:val="18"/>
                          <w:szCs w:val="18"/>
                          <w:lang w:val="en-US" w:eastAsia="en-US"/>
                        </w:rPr>
                        <w:t xml:space="preserve">RRM requirements for example band (Ka band) in the table below as baseline. </w:t>
                      </w:r>
                    </w:p>
                    <w:p w14:paraId="530D42C3" w14:textId="77777777" w:rsidR="00A956C0" w:rsidRPr="00956195" w:rsidRDefault="00A956C0" w:rsidP="00A956C0">
                      <w:pPr>
                        <w:pStyle w:val="ListParagraph"/>
                        <w:numPr>
                          <w:ilvl w:val="0"/>
                          <w:numId w:val="19"/>
                        </w:numPr>
                        <w:spacing w:after="120"/>
                        <w:ind w:leftChars="0"/>
                        <w:jc w:val="both"/>
                        <w:rPr>
                          <w:rFonts w:eastAsia="Malgun Gothic"/>
                          <w:sz w:val="18"/>
                          <w:szCs w:val="18"/>
                          <w:lang w:eastAsia="en-US"/>
                        </w:rPr>
                      </w:pPr>
                      <w:r w:rsidRPr="00956195">
                        <w:rPr>
                          <w:rFonts w:eastAsia="Malgun Gothic"/>
                          <w:sz w:val="18"/>
                          <w:szCs w:val="18"/>
                          <w:lang w:eastAsia="en-US"/>
                        </w:rPr>
                        <w:t>The following assumptions (applicable to Type 1 and Type 2 terminals) are used for R18 RRM requirements</w:t>
                      </w:r>
                    </w:p>
                    <w:p w14:paraId="3EC71A3E" w14:textId="77777777" w:rsidR="00A956C0" w:rsidRPr="00956195" w:rsidRDefault="00A956C0" w:rsidP="00A956C0">
                      <w:pPr>
                        <w:pStyle w:val="ListParagraph"/>
                        <w:numPr>
                          <w:ilvl w:val="1"/>
                          <w:numId w:val="19"/>
                        </w:numPr>
                        <w:spacing w:after="120"/>
                        <w:ind w:leftChars="0"/>
                        <w:jc w:val="both"/>
                        <w:rPr>
                          <w:rFonts w:eastAsia="Malgun Gothic"/>
                          <w:sz w:val="18"/>
                          <w:szCs w:val="18"/>
                          <w:lang w:eastAsia="en-US"/>
                        </w:rPr>
                      </w:pPr>
                      <w:r w:rsidRPr="00956195">
                        <w:rPr>
                          <w:rFonts w:eastAsia="Malgun Gothic"/>
                          <w:sz w:val="18"/>
                          <w:szCs w:val="18"/>
                          <w:lang w:eastAsia="en-US"/>
                        </w:rPr>
                        <w:t>single SAN Tx beam per radio cell in DL</w:t>
                      </w:r>
                    </w:p>
                    <w:p w14:paraId="77468979" w14:textId="77777777" w:rsidR="00A956C0" w:rsidRPr="00956195" w:rsidRDefault="00A956C0" w:rsidP="00A956C0">
                      <w:pPr>
                        <w:pStyle w:val="ListParagraph"/>
                        <w:numPr>
                          <w:ilvl w:val="1"/>
                          <w:numId w:val="19"/>
                        </w:numPr>
                        <w:spacing w:after="120"/>
                        <w:ind w:leftChars="0"/>
                        <w:jc w:val="both"/>
                        <w:rPr>
                          <w:rFonts w:eastAsia="Malgun Gothic"/>
                          <w:sz w:val="18"/>
                          <w:szCs w:val="18"/>
                          <w:lang w:eastAsia="en-US"/>
                        </w:rPr>
                      </w:pPr>
                      <w:r w:rsidRPr="00956195">
                        <w:rPr>
                          <w:rFonts w:eastAsia="Malgun Gothic"/>
                          <w:sz w:val="18"/>
                          <w:szCs w:val="18"/>
                          <w:lang w:eastAsia="en-US"/>
                        </w:rPr>
                        <w:t xml:space="preserve">For inter satellite HO, only blind </w:t>
                      </w:r>
                      <w:proofErr w:type="gramStart"/>
                      <w:r w:rsidRPr="00956195">
                        <w:rPr>
                          <w:rFonts w:eastAsia="Malgun Gothic"/>
                          <w:sz w:val="18"/>
                          <w:szCs w:val="18"/>
                          <w:lang w:eastAsia="en-US"/>
                        </w:rPr>
                        <w:t>HO</w:t>
                      </w:r>
                      <w:proofErr w:type="gramEnd"/>
                      <w:r w:rsidRPr="00956195">
                        <w:rPr>
                          <w:rFonts w:eastAsia="Malgun Gothic"/>
                          <w:sz w:val="18"/>
                          <w:szCs w:val="18"/>
                          <w:lang w:eastAsia="en-US"/>
                        </w:rPr>
                        <w:t xml:space="preserve"> and no </w:t>
                      </w:r>
                      <w:proofErr w:type="spellStart"/>
                      <w:r w:rsidRPr="00956195">
                        <w:rPr>
                          <w:rFonts w:eastAsia="Malgun Gothic"/>
                          <w:sz w:val="18"/>
                          <w:szCs w:val="18"/>
                          <w:lang w:eastAsia="en-US"/>
                        </w:rPr>
                        <w:t>neighbor</w:t>
                      </w:r>
                      <w:proofErr w:type="spellEnd"/>
                      <w:r w:rsidRPr="00956195">
                        <w:rPr>
                          <w:rFonts w:eastAsia="Malgun Gothic"/>
                          <w:sz w:val="18"/>
                          <w:szCs w:val="18"/>
                          <w:lang w:eastAsia="en-US"/>
                        </w:rPr>
                        <w:t xml:space="preserve"> cell measurement</w:t>
                      </w:r>
                    </w:p>
                    <w:p w14:paraId="6814D5B3" w14:textId="77777777" w:rsidR="00A956C0" w:rsidRPr="00956195" w:rsidRDefault="00A956C0" w:rsidP="00956195">
                      <w:pPr>
                        <w:pStyle w:val="ListParagraph"/>
                        <w:numPr>
                          <w:ilvl w:val="2"/>
                          <w:numId w:val="19"/>
                        </w:numPr>
                        <w:spacing w:after="120"/>
                        <w:ind w:leftChars="0"/>
                        <w:jc w:val="both"/>
                        <w:rPr>
                          <w:rFonts w:eastAsia="Malgun Gothic"/>
                          <w:sz w:val="18"/>
                          <w:szCs w:val="18"/>
                          <w:lang w:eastAsia="en-US"/>
                        </w:rPr>
                      </w:pPr>
                      <w:r w:rsidRPr="00956195">
                        <w:rPr>
                          <w:rFonts w:eastAsia="Malgun Gothic"/>
                          <w:sz w:val="18"/>
                          <w:szCs w:val="18"/>
                          <w:lang w:eastAsia="en-US"/>
                        </w:rPr>
                        <w:t xml:space="preserve">Blind HO assumption for type 1 UE can be revisited if issue is identified in RAN4 </w:t>
                      </w:r>
                    </w:p>
                    <w:p w14:paraId="02571FDA" w14:textId="77777777" w:rsidR="00A956C0" w:rsidRPr="00956195" w:rsidRDefault="00A956C0" w:rsidP="00A956C0">
                      <w:pPr>
                        <w:pStyle w:val="ListParagraph"/>
                        <w:numPr>
                          <w:ilvl w:val="1"/>
                          <w:numId w:val="19"/>
                        </w:numPr>
                        <w:spacing w:after="120"/>
                        <w:ind w:leftChars="0"/>
                        <w:jc w:val="both"/>
                        <w:rPr>
                          <w:rFonts w:eastAsia="Malgun Gothic"/>
                          <w:sz w:val="18"/>
                          <w:szCs w:val="18"/>
                          <w:lang w:eastAsia="en-US"/>
                        </w:rPr>
                      </w:pPr>
                      <w:r w:rsidRPr="00956195">
                        <w:rPr>
                          <w:rFonts w:eastAsia="Malgun Gothic"/>
                          <w:sz w:val="18"/>
                          <w:szCs w:val="18"/>
                          <w:lang w:eastAsia="en-US"/>
                        </w:rPr>
                        <w:t xml:space="preserve">Intra-sat </w:t>
                      </w:r>
                      <w:proofErr w:type="spellStart"/>
                      <w:r w:rsidRPr="00956195">
                        <w:rPr>
                          <w:rFonts w:eastAsia="Malgun Gothic"/>
                          <w:sz w:val="18"/>
                          <w:szCs w:val="18"/>
                          <w:lang w:eastAsia="en-US"/>
                        </w:rPr>
                        <w:t>neighbor</w:t>
                      </w:r>
                      <w:proofErr w:type="spellEnd"/>
                      <w:r w:rsidRPr="00956195">
                        <w:rPr>
                          <w:rFonts w:eastAsia="Malgun Gothic"/>
                          <w:sz w:val="18"/>
                          <w:szCs w:val="18"/>
                          <w:lang w:eastAsia="en-US"/>
                        </w:rPr>
                        <w:t xml:space="preserve"> cell measurement is needed</w:t>
                      </w:r>
                    </w:p>
                    <w:p w14:paraId="3A328506" w14:textId="636DB048" w:rsidR="00A956C0" w:rsidRPr="00956195" w:rsidRDefault="00A956C0" w:rsidP="00A956C0">
                      <w:pPr>
                        <w:pStyle w:val="ListParagraph"/>
                        <w:numPr>
                          <w:ilvl w:val="1"/>
                          <w:numId w:val="19"/>
                        </w:numPr>
                        <w:spacing w:after="120"/>
                        <w:ind w:leftChars="0"/>
                        <w:jc w:val="both"/>
                        <w:rPr>
                          <w:rFonts w:eastAsia="Malgun Gothic"/>
                          <w:sz w:val="18"/>
                          <w:szCs w:val="18"/>
                          <w:lang w:eastAsia="en-US"/>
                        </w:rPr>
                      </w:pPr>
                      <w:r w:rsidRPr="00956195">
                        <w:rPr>
                          <w:rFonts w:eastAsia="Malgun Gothic"/>
                          <w:sz w:val="18"/>
                          <w:szCs w:val="18"/>
                          <w:lang w:eastAsia="en-US"/>
                        </w:rPr>
                        <w:t xml:space="preserve">Same UE Rx beam is used for both serving and </w:t>
                      </w:r>
                      <w:proofErr w:type="spellStart"/>
                      <w:r w:rsidRPr="00956195">
                        <w:rPr>
                          <w:rFonts w:eastAsia="Malgun Gothic"/>
                          <w:sz w:val="18"/>
                          <w:szCs w:val="18"/>
                          <w:lang w:eastAsia="en-US"/>
                        </w:rPr>
                        <w:t>neighboring</w:t>
                      </w:r>
                      <w:proofErr w:type="spellEnd"/>
                      <w:r w:rsidRPr="00956195">
                        <w:rPr>
                          <w:rFonts w:eastAsia="Malgun Gothic"/>
                          <w:sz w:val="18"/>
                          <w:szCs w:val="18"/>
                          <w:lang w:eastAsia="en-US"/>
                        </w:rPr>
                        <w:t xml:space="preserve"> cells which belong to the same sat. (</w:t>
                      </w:r>
                      <w:proofErr w:type="gramStart"/>
                      <w:r w:rsidRPr="00956195">
                        <w:rPr>
                          <w:rFonts w:eastAsia="Malgun Gothic"/>
                          <w:sz w:val="18"/>
                          <w:szCs w:val="18"/>
                          <w:lang w:eastAsia="en-US"/>
                        </w:rPr>
                        <w:t>i.e.</w:t>
                      </w:r>
                      <w:proofErr w:type="gramEnd"/>
                      <w:r w:rsidRPr="00956195">
                        <w:rPr>
                          <w:rFonts w:eastAsia="Malgun Gothic"/>
                          <w:sz w:val="18"/>
                          <w:szCs w:val="18"/>
                          <w:lang w:eastAsia="en-US"/>
                        </w:rPr>
                        <w:t xml:space="preserve"> no Rx beam sweeping)</w:t>
                      </w:r>
                    </w:p>
                  </w:txbxContent>
                </v:textbox>
                <w10:wrap type="square" anchorx="margin"/>
              </v:shape>
            </w:pict>
          </mc:Fallback>
        </mc:AlternateContent>
      </w:r>
      <w:r>
        <w:rPr>
          <w:rFonts w:eastAsia="Malgun Gothic"/>
          <w:sz w:val="22"/>
          <w:szCs w:val="22"/>
          <w:lang w:val="en-US" w:eastAsia="en-US"/>
        </w:rPr>
        <w:t xml:space="preserve">RAN Plenary RAN#101 made the following decision on </w:t>
      </w:r>
      <w:r w:rsidRPr="00A956C0">
        <w:rPr>
          <w:rFonts w:eastAsia="Malgun Gothic"/>
          <w:sz w:val="22"/>
          <w:szCs w:val="22"/>
          <w:lang w:val="en-US" w:eastAsia="en-US"/>
        </w:rPr>
        <w:t>NR-NTN deployment in above 10 GHz bands</w:t>
      </w:r>
      <w:r>
        <w:rPr>
          <w:rFonts w:eastAsia="Malgun Gothic"/>
          <w:sz w:val="22"/>
          <w:szCs w:val="22"/>
          <w:lang w:val="en-US" w:eastAsia="en-US"/>
        </w:rPr>
        <w:t>:</w:t>
      </w:r>
    </w:p>
    <w:p w14:paraId="14BF25CA" w14:textId="376130E3" w:rsidR="00A956C0" w:rsidRDefault="00A956C0" w:rsidP="007D245A">
      <w:pPr>
        <w:spacing w:after="120"/>
        <w:jc w:val="both"/>
        <w:rPr>
          <w:rFonts w:eastAsia="Malgun Gothic"/>
          <w:sz w:val="22"/>
          <w:szCs w:val="22"/>
          <w:lang w:val="en-US" w:eastAsia="en-US"/>
        </w:rPr>
      </w:pPr>
    </w:p>
    <w:p w14:paraId="6196C535" w14:textId="21FC8C47" w:rsidR="00A956C0" w:rsidRDefault="00956195" w:rsidP="007D245A">
      <w:pPr>
        <w:spacing w:after="120"/>
        <w:jc w:val="both"/>
        <w:rPr>
          <w:rFonts w:eastAsia="Malgun Gothic"/>
          <w:sz w:val="22"/>
          <w:szCs w:val="22"/>
          <w:lang w:val="en-US" w:eastAsia="en-US"/>
        </w:rPr>
      </w:pPr>
      <w:r>
        <w:rPr>
          <w:rFonts w:eastAsia="Malgun Gothic"/>
          <w:sz w:val="22"/>
          <w:szCs w:val="22"/>
          <w:lang w:val="en-US" w:eastAsia="en-US"/>
        </w:rPr>
        <w:lastRenderedPageBreak/>
        <w:t>RAN#101 provided a table copied below</w:t>
      </w:r>
    </w:p>
    <w:tbl>
      <w:tblPr>
        <w:tblW w:w="8354" w:type="dxa"/>
        <w:tblCellMar>
          <w:left w:w="0" w:type="dxa"/>
          <w:right w:w="0" w:type="dxa"/>
        </w:tblCellMar>
        <w:tblLook w:val="0600" w:firstRow="0" w:lastRow="0" w:firstColumn="0" w:lastColumn="0" w:noHBand="1" w:noVBand="1"/>
      </w:tblPr>
      <w:tblGrid>
        <w:gridCol w:w="3959"/>
        <w:gridCol w:w="1418"/>
        <w:gridCol w:w="1559"/>
        <w:gridCol w:w="1418"/>
      </w:tblGrid>
      <w:tr w:rsidR="00956195" w:rsidRPr="00956195" w14:paraId="0ACFCDB8" w14:textId="77777777" w:rsidTr="00956195">
        <w:trPr>
          <w:trHeight w:val="430"/>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3DEA511" w14:textId="77777777" w:rsidR="00956195" w:rsidRPr="00956195" w:rsidRDefault="00956195" w:rsidP="00956195">
            <w:pPr>
              <w:spacing w:after="120"/>
              <w:jc w:val="both"/>
              <w:rPr>
                <w:rFonts w:eastAsia="Malgun Gothic"/>
                <w:sz w:val="18"/>
                <w:szCs w:val="18"/>
                <w:lang w:eastAsia="en-US"/>
              </w:rPr>
            </w:pPr>
            <w:r w:rsidRPr="00956195">
              <w:rPr>
                <w:rFonts w:eastAsia="Malgun Gothic"/>
                <w:b/>
                <w:bCs/>
                <w:sz w:val="18"/>
                <w:szCs w:val="18"/>
                <w:lang w:val="fr-FR" w:eastAsia="en-US"/>
              </w:rPr>
              <w:t>RRM requirements to be defined as part of Rel-18 NR-NTN-enh WID</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7F6F597C" w14:textId="77777777" w:rsidR="00956195" w:rsidRPr="00956195" w:rsidRDefault="00956195" w:rsidP="00956195">
            <w:pPr>
              <w:spacing w:after="120"/>
              <w:jc w:val="both"/>
              <w:rPr>
                <w:rFonts w:eastAsia="Malgun Gothic"/>
                <w:sz w:val="18"/>
                <w:szCs w:val="18"/>
                <w:lang w:eastAsia="en-US"/>
              </w:rPr>
            </w:pPr>
            <w:r w:rsidRPr="00956195">
              <w:rPr>
                <w:rFonts w:eastAsia="Malgun Gothic"/>
                <w:b/>
                <w:bCs/>
                <w:sz w:val="18"/>
                <w:szCs w:val="18"/>
                <w:lang w:val="fr-FR" w:eastAsia="en-US"/>
              </w:rPr>
              <w:t>Electronic steering antenna</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DC8E1DB" w14:textId="77777777" w:rsidR="00956195" w:rsidRPr="00956195" w:rsidRDefault="00956195" w:rsidP="00956195">
            <w:pPr>
              <w:spacing w:after="120"/>
              <w:jc w:val="both"/>
              <w:rPr>
                <w:rFonts w:eastAsia="Malgun Gothic"/>
                <w:sz w:val="18"/>
                <w:szCs w:val="18"/>
                <w:lang w:eastAsia="en-US"/>
              </w:rPr>
            </w:pPr>
            <w:r w:rsidRPr="00956195">
              <w:rPr>
                <w:rFonts w:eastAsia="Malgun Gothic"/>
                <w:b/>
                <w:bCs/>
                <w:sz w:val="18"/>
                <w:szCs w:val="18"/>
                <w:lang w:val="fr-FR" w:eastAsia="en-US"/>
              </w:rPr>
              <w:t>Mechanical steering antenna</w:t>
            </w:r>
          </w:p>
          <w:p w14:paraId="4E8D797B" w14:textId="77777777" w:rsidR="00956195" w:rsidRPr="00956195" w:rsidRDefault="00956195" w:rsidP="00956195">
            <w:pPr>
              <w:spacing w:after="120"/>
              <w:jc w:val="both"/>
              <w:rPr>
                <w:rFonts w:eastAsia="Malgun Gothic"/>
                <w:sz w:val="18"/>
                <w:szCs w:val="18"/>
                <w:lang w:eastAsia="en-US"/>
              </w:rPr>
            </w:pPr>
            <w:r w:rsidRPr="00956195">
              <w:rPr>
                <w:rFonts w:eastAsia="Malgun Gothic"/>
                <w:b/>
                <w:bCs/>
                <w:sz w:val="18"/>
                <w:szCs w:val="18"/>
                <w:lang w:val="fr-FR" w:eastAsia="en-US"/>
              </w:rPr>
              <w:t>(inter-sat)</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47A4551" w14:textId="77777777" w:rsidR="00956195" w:rsidRPr="00956195" w:rsidRDefault="00956195" w:rsidP="00956195">
            <w:pPr>
              <w:spacing w:after="120"/>
              <w:jc w:val="both"/>
              <w:rPr>
                <w:rFonts w:eastAsia="Malgun Gothic"/>
                <w:sz w:val="18"/>
                <w:szCs w:val="18"/>
                <w:lang w:eastAsia="en-US"/>
              </w:rPr>
            </w:pPr>
            <w:r w:rsidRPr="00956195">
              <w:rPr>
                <w:rFonts w:eastAsia="Malgun Gothic"/>
                <w:b/>
                <w:bCs/>
                <w:sz w:val="18"/>
                <w:szCs w:val="18"/>
                <w:lang w:val="fr-FR" w:eastAsia="en-US"/>
              </w:rPr>
              <w:t>Mechanical steering antenna</w:t>
            </w:r>
          </w:p>
          <w:p w14:paraId="01C201E8" w14:textId="77777777" w:rsidR="00956195" w:rsidRPr="00956195" w:rsidRDefault="00956195" w:rsidP="00956195">
            <w:pPr>
              <w:spacing w:after="120"/>
              <w:jc w:val="both"/>
              <w:rPr>
                <w:rFonts w:eastAsia="Malgun Gothic"/>
                <w:sz w:val="18"/>
                <w:szCs w:val="18"/>
                <w:lang w:eastAsia="en-US"/>
              </w:rPr>
            </w:pPr>
            <w:r w:rsidRPr="00956195">
              <w:rPr>
                <w:rFonts w:eastAsia="Malgun Gothic"/>
                <w:b/>
                <w:bCs/>
                <w:sz w:val="18"/>
                <w:szCs w:val="18"/>
                <w:lang w:val="fr-FR" w:eastAsia="en-US"/>
              </w:rPr>
              <w:t>(intra-sat)</w:t>
            </w:r>
          </w:p>
        </w:tc>
      </w:tr>
      <w:tr w:rsidR="00956195" w:rsidRPr="00956195" w14:paraId="7D7315A3" w14:textId="77777777" w:rsidTr="00956195">
        <w:trPr>
          <w:trHeight w:val="215"/>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113B44E" w14:textId="77777777" w:rsidR="00956195" w:rsidRPr="00956195" w:rsidRDefault="00956195" w:rsidP="00956195">
            <w:pPr>
              <w:spacing w:after="120"/>
              <w:jc w:val="both"/>
              <w:rPr>
                <w:rFonts w:eastAsia="Malgun Gothic"/>
                <w:sz w:val="18"/>
                <w:szCs w:val="18"/>
                <w:lang w:eastAsia="en-US"/>
              </w:rPr>
            </w:pP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BF90877"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Terminal Type 1</w:t>
            </w:r>
          </w:p>
        </w:tc>
        <w:tc>
          <w:tcPr>
            <w:tcW w:w="2977" w:type="dxa"/>
            <w:gridSpan w:val="2"/>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BC69C9E"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Terminal Type 2</w:t>
            </w:r>
          </w:p>
        </w:tc>
      </w:tr>
      <w:tr w:rsidR="00956195" w:rsidRPr="00956195" w14:paraId="389C44A3"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3120FEA"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UE uplink timing accuracy</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6F96E08"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9FF0392"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418" w:type="dxa"/>
            <w:vMerge w:val="restart"/>
            <w:tcBorders>
              <w:top w:val="single" w:sz="8" w:space="0" w:color="000000"/>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738C9A3" w14:textId="77777777" w:rsidR="00956195" w:rsidRPr="00956195" w:rsidRDefault="00956195" w:rsidP="00956195">
            <w:pPr>
              <w:spacing w:after="120"/>
              <w:jc w:val="both"/>
              <w:rPr>
                <w:rFonts w:eastAsia="Malgun Gothic"/>
                <w:sz w:val="18"/>
                <w:szCs w:val="18"/>
                <w:lang w:eastAsia="en-US"/>
              </w:rPr>
            </w:pPr>
            <w:r w:rsidRPr="00956195">
              <w:rPr>
                <w:rFonts w:eastAsia="Malgun Gothic"/>
                <w:b/>
                <w:bCs/>
                <w:sz w:val="18"/>
                <w:szCs w:val="18"/>
                <w:lang w:val="fr-FR" w:eastAsia="en-US"/>
              </w:rPr>
              <w:t>Reuse FR1 NTN requirement, except UL uplink timing accuracy</w:t>
            </w:r>
          </w:p>
        </w:tc>
      </w:tr>
      <w:tr w:rsidR="00956195" w:rsidRPr="00956195" w14:paraId="4DE0C63A"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E01F38F"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en-US" w:eastAsia="en-US"/>
              </w:rPr>
              <w:t xml:space="preserve">RRC IDLE and INACTIVE mobility </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BE9A6B2"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L</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1DACA3CD"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0314BE9A" w14:textId="77777777" w:rsidR="00956195" w:rsidRPr="00956195" w:rsidRDefault="00956195" w:rsidP="00956195">
            <w:pPr>
              <w:spacing w:after="120"/>
              <w:jc w:val="both"/>
              <w:rPr>
                <w:rFonts w:eastAsia="Malgun Gothic"/>
                <w:sz w:val="18"/>
                <w:szCs w:val="18"/>
                <w:lang w:eastAsia="en-US"/>
              </w:rPr>
            </w:pPr>
          </w:p>
        </w:tc>
      </w:tr>
      <w:tr w:rsidR="00956195" w:rsidRPr="00956195" w14:paraId="66EB6917"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3218653"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 xml:space="preserve">(Conditional/blind) Handover </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782AF42B"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2E6038B"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6D22B0F4" w14:textId="77777777" w:rsidR="00956195" w:rsidRPr="00956195" w:rsidRDefault="00956195" w:rsidP="00956195">
            <w:pPr>
              <w:spacing w:after="120"/>
              <w:jc w:val="both"/>
              <w:rPr>
                <w:rFonts w:eastAsia="Malgun Gothic"/>
                <w:sz w:val="18"/>
                <w:szCs w:val="18"/>
                <w:lang w:eastAsia="en-US"/>
              </w:rPr>
            </w:pPr>
          </w:p>
        </w:tc>
      </w:tr>
      <w:tr w:rsidR="00956195" w:rsidRPr="00956195" w14:paraId="45FE864D"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702B7949"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 xml:space="preserve">RRC Re-establishment </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ED8CEDE"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L</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E850378"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L</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7FE31737" w14:textId="77777777" w:rsidR="00956195" w:rsidRPr="00956195" w:rsidRDefault="00956195" w:rsidP="00956195">
            <w:pPr>
              <w:spacing w:after="120"/>
              <w:jc w:val="both"/>
              <w:rPr>
                <w:rFonts w:eastAsia="Malgun Gothic"/>
                <w:sz w:val="18"/>
                <w:szCs w:val="18"/>
                <w:lang w:eastAsia="en-US"/>
              </w:rPr>
            </w:pPr>
          </w:p>
        </w:tc>
      </w:tr>
      <w:tr w:rsidR="00956195" w:rsidRPr="00956195" w14:paraId="71774476"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0731269"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en-US" w:eastAsia="en-US"/>
              </w:rPr>
              <w:t xml:space="preserve">RRC Connection Release with Redirection </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9962933"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0B76850"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57299649" w14:textId="77777777" w:rsidR="00956195" w:rsidRPr="00956195" w:rsidRDefault="00956195" w:rsidP="00956195">
            <w:pPr>
              <w:spacing w:after="120"/>
              <w:jc w:val="both"/>
              <w:rPr>
                <w:rFonts w:eastAsia="Malgun Gothic"/>
                <w:sz w:val="18"/>
                <w:szCs w:val="18"/>
                <w:lang w:eastAsia="en-US"/>
              </w:rPr>
            </w:pPr>
          </w:p>
        </w:tc>
      </w:tr>
      <w:tr w:rsidR="00956195" w:rsidRPr="00956195" w14:paraId="5E488B72" w14:textId="77777777" w:rsidTr="00956195">
        <w:trPr>
          <w:trHeight w:val="323"/>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78A49D3"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 xml:space="preserve">Radio Link Monitoring </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F3EC6F1"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662FA99"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1E347A67" w14:textId="77777777" w:rsidR="00956195" w:rsidRPr="00956195" w:rsidRDefault="00956195" w:rsidP="00956195">
            <w:pPr>
              <w:spacing w:after="120"/>
              <w:jc w:val="both"/>
              <w:rPr>
                <w:rFonts w:eastAsia="Malgun Gothic"/>
                <w:sz w:val="18"/>
                <w:szCs w:val="18"/>
                <w:lang w:eastAsia="en-US"/>
              </w:rPr>
            </w:pPr>
          </w:p>
        </w:tc>
      </w:tr>
      <w:tr w:rsidR="00956195" w:rsidRPr="00956195" w14:paraId="152B03DA"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01A7FF0"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Link Recovery procedure (BFD/CBD)</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3AAE6C4"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E63B91B"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12C11ABA" w14:textId="77777777" w:rsidR="00956195" w:rsidRPr="00956195" w:rsidRDefault="00956195" w:rsidP="00956195">
            <w:pPr>
              <w:spacing w:after="120"/>
              <w:jc w:val="both"/>
              <w:rPr>
                <w:rFonts w:eastAsia="Malgun Gothic"/>
                <w:sz w:val="18"/>
                <w:szCs w:val="18"/>
                <w:lang w:eastAsia="en-US"/>
              </w:rPr>
            </w:pPr>
          </w:p>
        </w:tc>
      </w:tr>
      <w:tr w:rsidR="00956195" w:rsidRPr="00956195" w14:paraId="01A8429D"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E3F711A"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Active TCI switching</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2E2C10B"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014B197"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14EDCB98" w14:textId="77777777" w:rsidR="00956195" w:rsidRPr="00956195" w:rsidRDefault="00956195" w:rsidP="00956195">
            <w:pPr>
              <w:spacing w:after="120"/>
              <w:jc w:val="both"/>
              <w:rPr>
                <w:rFonts w:eastAsia="Malgun Gothic"/>
                <w:sz w:val="18"/>
                <w:szCs w:val="18"/>
                <w:lang w:eastAsia="en-US"/>
              </w:rPr>
            </w:pPr>
          </w:p>
        </w:tc>
      </w:tr>
      <w:tr w:rsidR="00956195" w:rsidRPr="00956195" w14:paraId="2035AED7"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F1043F3"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Measurement Procedure</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1E0B7CA0"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9B8BFB5"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7F9F6013" w14:textId="77777777" w:rsidR="00956195" w:rsidRPr="00956195" w:rsidRDefault="00956195" w:rsidP="00956195">
            <w:pPr>
              <w:spacing w:after="120"/>
              <w:jc w:val="both"/>
              <w:rPr>
                <w:rFonts w:eastAsia="Malgun Gothic"/>
                <w:sz w:val="18"/>
                <w:szCs w:val="18"/>
                <w:lang w:eastAsia="en-US"/>
              </w:rPr>
            </w:pPr>
          </w:p>
        </w:tc>
      </w:tr>
      <w:tr w:rsidR="00956195" w:rsidRPr="00956195" w14:paraId="1CEA078F"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6814459"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en-US" w:eastAsia="en-US"/>
              </w:rPr>
              <w:t xml:space="preserve">(L1/L3 measurement delay and measurement gap, scheduling restriction due to mixed numerologies) </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827E6CB"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DCDD921"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418" w:type="dxa"/>
            <w:vMerge/>
            <w:tcBorders>
              <w:top w:val="single" w:sz="8" w:space="0" w:color="000000"/>
              <w:left w:val="single" w:sz="8" w:space="0" w:color="FFFFFF"/>
              <w:bottom w:val="single" w:sz="8" w:space="0" w:color="FFFFFF"/>
              <w:right w:val="single" w:sz="8" w:space="0" w:color="FFFFFF"/>
            </w:tcBorders>
            <w:vAlign w:val="center"/>
            <w:hideMark/>
          </w:tcPr>
          <w:p w14:paraId="3D0FA998" w14:textId="77777777" w:rsidR="00956195" w:rsidRPr="00956195" w:rsidRDefault="00956195" w:rsidP="00956195">
            <w:pPr>
              <w:spacing w:after="120"/>
              <w:jc w:val="both"/>
              <w:rPr>
                <w:rFonts w:eastAsia="Malgun Gothic"/>
                <w:sz w:val="18"/>
                <w:szCs w:val="18"/>
                <w:lang w:eastAsia="en-US"/>
              </w:rPr>
            </w:pPr>
          </w:p>
        </w:tc>
      </w:tr>
      <w:tr w:rsidR="00956195" w:rsidRPr="00956195" w14:paraId="13A5CF06"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930BC89"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Measurement Performance</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DBDA777"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Y</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FCE55F3"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19C41D54" w14:textId="77777777" w:rsidR="00956195" w:rsidRPr="00956195" w:rsidRDefault="00956195" w:rsidP="00956195">
            <w:pPr>
              <w:spacing w:after="120"/>
              <w:jc w:val="both"/>
              <w:rPr>
                <w:rFonts w:eastAsia="Malgun Gothic"/>
                <w:sz w:val="18"/>
                <w:szCs w:val="18"/>
                <w:lang w:eastAsia="en-US"/>
              </w:rPr>
            </w:pPr>
          </w:p>
        </w:tc>
      </w:tr>
      <w:tr w:rsidR="00956195" w:rsidRPr="00956195" w14:paraId="3E4AF81D" w14:textId="77777777" w:rsidTr="00956195">
        <w:trPr>
          <w:trHeight w:val="184"/>
        </w:trPr>
        <w:tc>
          <w:tcPr>
            <w:tcW w:w="39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B03D2CC"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en-US" w:eastAsia="en-US"/>
              </w:rPr>
              <w:t>UL spatial relation switching</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CBAD019"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55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5CE2FD0" w14:textId="77777777" w:rsidR="00956195" w:rsidRPr="00956195" w:rsidRDefault="00956195" w:rsidP="00956195">
            <w:pPr>
              <w:spacing w:after="120"/>
              <w:jc w:val="both"/>
              <w:rPr>
                <w:rFonts w:eastAsia="Malgun Gothic"/>
                <w:sz w:val="18"/>
                <w:szCs w:val="18"/>
                <w:lang w:eastAsia="en-US"/>
              </w:rPr>
            </w:pPr>
            <w:r w:rsidRPr="00956195">
              <w:rPr>
                <w:rFonts w:eastAsia="Malgun Gothic"/>
                <w:sz w:val="18"/>
                <w:szCs w:val="18"/>
                <w:lang w:val="fr-FR" w:eastAsia="en-US"/>
              </w:rPr>
              <w:t>N</w:t>
            </w:r>
          </w:p>
        </w:tc>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20D2B82" w14:textId="77777777" w:rsidR="00956195" w:rsidRPr="00956195" w:rsidRDefault="00956195" w:rsidP="00956195">
            <w:pPr>
              <w:spacing w:after="120"/>
              <w:jc w:val="both"/>
              <w:rPr>
                <w:rFonts w:eastAsia="Malgun Gothic"/>
                <w:sz w:val="18"/>
                <w:szCs w:val="18"/>
                <w:lang w:eastAsia="en-US"/>
              </w:rPr>
            </w:pPr>
          </w:p>
        </w:tc>
      </w:tr>
    </w:tbl>
    <w:p w14:paraId="709E51D6" w14:textId="04B67AFA" w:rsidR="00956195" w:rsidRDefault="00956195" w:rsidP="007D245A">
      <w:pPr>
        <w:spacing w:after="120"/>
        <w:jc w:val="both"/>
        <w:rPr>
          <w:rFonts w:eastAsia="Malgun Gothic"/>
          <w:sz w:val="22"/>
          <w:szCs w:val="22"/>
          <w:lang w:val="en-US" w:eastAsia="en-US"/>
        </w:rPr>
      </w:pPr>
    </w:p>
    <w:p w14:paraId="67988297" w14:textId="27742DE8" w:rsidR="00956195" w:rsidRDefault="00956195" w:rsidP="007D245A">
      <w:pPr>
        <w:spacing w:after="120"/>
        <w:jc w:val="both"/>
        <w:rPr>
          <w:rFonts w:eastAsia="Malgun Gothic"/>
          <w:sz w:val="22"/>
          <w:szCs w:val="22"/>
          <w:lang w:val="en-US" w:eastAsia="en-US"/>
        </w:rPr>
      </w:pPr>
      <w:r>
        <w:rPr>
          <w:rFonts w:eastAsia="Malgun Gothic"/>
          <w:sz w:val="22"/>
          <w:szCs w:val="22"/>
          <w:lang w:val="en-US" w:eastAsia="en-US"/>
        </w:rPr>
        <w:t xml:space="preserve">In this contribution, we further discuss </w:t>
      </w:r>
      <w:r w:rsidRPr="00956195">
        <w:rPr>
          <w:rFonts w:eastAsia="Malgun Gothic"/>
          <w:sz w:val="22"/>
          <w:szCs w:val="22"/>
          <w:lang w:val="en-US" w:eastAsia="en-US"/>
        </w:rPr>
        <w:t>potential RAN1 discussion to support the RAN4 work on NTN above 10 GHz</w:t>
      </w:r>
      <w:r>
        <w:rPr>
          <w:rFonts w:eastAsia="Malgun Gothic"/>
          <w:sz w:val="22"/>
          <w:szCs w:val="22"/>
          <w:lang w:val="en-US" w:eastAsia="en-US"/>
        </w:rPr>
        <w:t>.</w:t>
      </w:r>
    </w:p>
    <w:p w14:paraId="75186DC8" w14:textId="45387563" w:rsidR="00A956C0" w:rsidRDefault="00A956C0" w:rsidP="007D245A">
      <w:pPr>
        <w:spacing w:after="120"/>
        <w:jc w:val="both"/>
        <w:rPr>
          <w:rFonts w:eastAsia="Malgun Gothic"/>
          <w:sz w:val="22"/>
          <w:szCs w:val="22"/>
          <w:lang w:val="en-US" w:eastAsia="en-US"/>
        </w:rPr>
      </w:pPr>
    </w:p>
    <w:p w14:paraId="21FC27D1" w14:textId="3128508E" w:rsidR="00A956C0" w:rsidRPr="00956195" w:rsidRDefault="00956195" w:rsidP="0095619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3 </w:t>
      </w:r>
      <w:r w:rsidRPr="00956195">
        <w:rPr>
          <w:rFonts w:ascii="Times New Roman" w:eastAsia="Batang" w:hAnsi="Times New Roman" w:cs="Times New Roman"/>
          <w:bCs w:val="0"/>
          <w:lang w:val="en-US" w:eastAsia="ko-KR"/>
        </w:rPr>
        <w:t>MAC-CE application time in case of VSAT antenna for NR over NTN</w:t>
      </w:r>
    </w:p>
    <w:p w14:paraId="5D9B5455" w14:textId="730F6391" w:rsidR="00BB0E90" w:rsidRDefault="00BB0E90" w:rsidP="007D245A">
      <w:pPr>
        <w:spacing w:after="120"/>
        <w:jc w:val="both"/>
        <w:rPr>
          <w:rFonts w:eastAsia="Malgun Gothic"/>
          <w:sz w:val="22"/>
          <w:szCs w:val="22"/>
          <w:lang w:val="en-US" w:eastAsia="en-US"/>
        </w:rPr>
      </w:pPr>
      <w:r>
        <w:rPr>
          <w:rFonts w:eastAsia="Malgun Gothic"/>
          <w:sz w:val="22"/>
          <w:szCs w:val="22"/>
          <w:lang w:val="en-US" w:eastAsia="en-US"/>
        </w:rPr>
        <w:t>This issue was discussed</w:t>
      </w:r>
      <w:r w:rsidRPr="00BB0E90">
        <w:t xml:space="preserve"> </w:t>
      </w:r>
      <w:r>
        <w:t xml:space="preserve">in </w:t>
      </w:r>
      <w:r w:rsidRPr="00BB0E90">
        <w:rPr>
          <w:rFonts w:eastAsia="Malgun Gothic"/>
          <w:sz w:val="22"/>
          <w:szCs w:val="22"/>
          <w:lang w:val="en-US" w:eastAsia="en-US"/>
        </w:rPr>
        <w:t>Topic 4: VSAT antenna beamforming and application delay</w:t>
      </w:r>
      <w:r>
        <w:rPr>
          <w:rFonts w:eastAsia="Malgun Gothic"/>
          <w:sz w:val="22"/>
          <w:szCs w:val="22"/>
          <w:lang w:val="en-US" w:eastAsia="en-US"/>
        </w:rPr>
        <w:t xml:space="preserve"> in summary </w:t>
      </w:r>
      <w:r w:rsidRPr="00BB0E90">
        <w:rPr>
          <w:rFonts w:eastAsia="Malgun Gothic"/>
          <w:sz w:val="22"/>
          <w:szCs w:val="22"/>
          <w:lang w:val="en-US" w:eastAsia="en-US"/>
        </w:rPr>
        <w:t>Discussion on RAN4 LS on FR2-NTN aspects</w:t>
      </w:r>
      <w:r>
        <w:rPr>
          <w:rFonts w:eastAsia="Malgun Gothic"/>
          <w:sz w:val="22"/>
          <w:szCs w:val="22"/>
          <w:lang w:val="en-US" w:eastAsia="en-US"/>
        </w:rPr>
        <w:t xml:space="preserve"> [5].Companies were encouraged to comment on whether they w</w:t>
      </w:r>
      <w:r w:rsidRPr="00BB0E90">
        <w:rPr>
          <w:rFonts w:eastAsia="Malgun Gothic"/>
          <w:sz w:val="22"/>
          <w:szCs w:val="22"/>
          <w:lang w:val="en-US" w:eastAsia="en-US"/>
        </w:rPr>
        <w:t>ould you see any need for addressing (and implementing) larger application delays for MAC-CE related to VSAT mechanical steering?</w:t>
      </w:r>
      <w:r>
        <w:rPr>
          <w:rFonts w:eastAsia="Malgun Gothic"/>
          <w:sz w:val="22"/>
          <w:szCs w:val="22"/>
          <w:lang w:val="en-US" w:eastAsia="en-US"/>
        </w:rPr>
        <w:t xml:space="preserve"> The moderator recommendation was to ask </w:t>
      </w:r>
      <w:r w:rsidRPr="00BB0E90">
        <w:rPr>
          <w:rFonts w:eastAsia="Malgun Gothic"/>
          <w:sz w:val="22"/>
          <w:szCs w:val="22"/>
          <w:lang w:val="en-US" w:eastAsia="en-US"/>
        </w:rPr>
        <w:t>RAN4 to clarify the use case for using MAC-CE to trigger mechanical beam steering as well as requesting RAN4 to provide typical application delay range for a mechanical beam VSAT antenna to reach new direction.</w:t>
      </w:r>
    </w:p>
    <w:p w14:paraId="7C37AE30" w14:textId="4ECD4C8A" w:rsidR="00BB0E90" w:rsidRDefault="00956195" w:rsidP="007D245A">
      <w:pPr>
        <w:spacing w:after="120"/>
        <w:jc w:val="both"/>
        <w:rPr>
          <w:rFonts w:eastAsia="Malgun Gothic"/>
          <w:sz w:val="22"/>
          <w:szCs w:val="22"/>
          <w:lang w:val="en-US" w:eastAsia="en-US"/>
        </w:rPr>
      </w:pPr>
      <w:r>
        <w:rPr>
          <w:rFonts w:eastAsia="Malgun Gothic"/>
          <w:sz w:val="22"/>
          <w:szCs w:val="22"/>
          <w:lang w:val="en-US" w:eastAsia="en-US"/>
        </w:rPr>
        <w:t>RAN</w:t>
      </w:r>
      <w:r w:rsidR="00BB0E90">
        <w:rPr>
          <w:rFonts w:eastAsia="Malgun Gothic"/>
          <w:sz w:val="22"/>
          <w:szCs w:val="22"/>
          <w:lang w:val="en-US" w:eastAsia="en-US"/>
        </w:rPr>
        <w:t>#10</w:t>
      </w:r>
      <w:r>
        <w:rPr>
          <w:rFonts w:eastAsia="Malgun Gothic"/>
          <w:sz w:val="22"/>
          <w:szCs w:val="22"/>
          <w:lang w:val="en-US" w:eastAsia="en-US"/>
        </w:rPr>
        <w:t xml:space="preserve">1 made the decision that </w:t>
      </w:r>
      <w:r w:rsidRPr="00956195">
        <w:rPr>
          <w:rFonts w:eastAsia="Malgun Gothic"/>
          <w:sz w:val="22"/>
          <w:szCs w:val="22"/>
          <w:lang w:val="en-US" w:eastAsia="en-US"/>
        </w:rPr>
        <w:t>single SAN Tx beam per radio cell in DL</w:t>
      </w:r>
      <w:r>
        <w:rPr>
          <w:rFonts w:eastAsia="Malgun Gothic"/>
          <w:sz w:val="22"/>
          <w:szCs w:val="22"/>
          <w:lang w:val="en-US" w:eastAsia="en-US"/>
        </w:rPr>
        <w:t xml:space="preserve"> is assumption for </w:t>
      </w:r>
      <w:r w:rsidRPr="00956195">
        <w:rPr>
          <w:rFonts w:eastAsia="Malgun Gothic"/>
          <w:sz w:val="22"/>
          <w:szCs w:val="22"/>
          <w:lang w:val="en-US" w:eastAsia="en-US"/>
        </w:rPr>
        <w:t>(applicable to Type 1 and Type 2 terminals) are used for R18 RRM requirements</w:t>
      </w:r>
      <w:r>
        <w:rPr>
          <w:rFonts w:eastAsia="Malgun Gothic"/>
          <w:sz w:val="22"/>
          <w:szCs w:val="22"/>
          <w:lang w:val="en-US" w:eastAsia="en-US"/>
        </w:rPr>
        <w:t xml:space="preserve">. The MAC CE TCI is </w:t>
      </w:r>
      <w:r w:rsidR="00BB0E90">
        <w:rPr>
          <w:rFonts w:eastAsia="Malgun Gothic"/>
          <w:sz w:val="22"/>
          <w:szCs w:val="22"/>
          <w:lang w:val="en-US" w:eastAsia="en-US"/>
        </w:rPr>
        <w:t xml:space="preserve">received by </w:t>
      </w:r>
      <w:r>
        <w:rPr>
          <w:rFonts w:eastAsia="Malgun Gothic"/>
          <w:sz w:val="22"/>
          <w:szCs w:val="22"/>
          <w:lang w:val="en-US" w:eastAsia="en-US"/>
        </w:rPr>
        <w:t xml:space="preserve">UE in connected time. </w:t>
      </w:r>
      <w:r w:rsidR="00BB0E90">
        <w:rPr>
          <w:rFonts w:eastAsia="Malgun Gothic"/>
          <w:sz w:val="22"/>
          <w:szCs w:val="22"/>
          <w:lang w:val="en-US" w:eastAsia="en-US"/>
        </w:rPr>
        <w:t>It was discussed in [5] that when</w:t>
      </w:r>
      <w:r w:rsidR="00BB0E90" w:rsidRPr="00E70701">
        <w:t xml:space="preserve"> the HARQ-ACK corresponding to a PDSCH carrying a MAC-CE command is transmitted in slot n, the corresponding action and the UE assumption on the downlink configuration indicated by the MAC-CE command 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eastAsia="SimSun" w:hAnsi="Cambria Math"/>
                <w:i/>
                <w:iCs/>
                <w:sz w:val="22"/>
                <w:szCs w:val="22"/>
                <w:lang w:eastAsia="zh-CN"/>
              </w:rPr>
            </m:ctrlPr>
          </m:sSubSupPr>
          <m:e>
            <m:r>
              <m:rPr>
                <m:sty m:val="bi"/>
              </m:rPr>
              <w:rPr>
                <w:rFonts w:ascii="Cambria Math" w:hAnsi="Cambria Math"/>
              </w:rPr>
              <m:t>XN</m:t>
            </m:r>
          </m:e>
          <m:sub>
            <m:r>
              <m:rPr>
                <m:sty m:val="bi"/>
              </m:rPr>
              <w:rPr>
                <w:rFonts w:ascii="Cambria Math" w:hAnsi="Cambria Math"/>
              </w:rPr>
              <m:t>slot</m:t>
            </m:r>
          </m:sub>
          <m:sup>
            <m:r>
              <m:rPr>
                <m:sty m:val="bi"/>
              </m:rPr>
              <w:rPr>
                <w:rFonts w:ascii="Cambria Math" w:hAnsi="Cambria Math"/>
              </w:rPr>
              <m:t>subframe,µ</m:t>
            </m:r>
          </m:sup>
        </m:sSubSup>
      </m:oMath>
      <w:r w:rsidR="00BB0E90">
        <w:rPr>
          <w:rFonts w:eastAsia="Malgun Gothic"/>
          <w:sz w:val="22"/>
          <w:szCs w:val="22"/>
          <w:lang w:val="en-US" w:eastAsia="en-US"/>
        </w:rPr>
        <w:t xml:space="preserve">. Further, </w:t>
      </w:r>
      <w:r w:rsidR="00BB0E90" w:rsidRPr="00BB0E90">
        <w:rPr>
          <w:rFonts w:eastAsia="Malgun Gothic"/>
          <w:sz w:val="22"/>
          <w:szCs w:val="22"/>
          <w:lang w:val="en-US" w:eastAsia="en-US"/>
        </w:rPr>
        <w:t xml:space="preserve">NTN UE can report its capability in terms of MAC CE action timing application delay </w:t>
      </w:r>
      <w:r w:rsidR="00BB0E90" w:rsidRPr="00BB0E90">
        <w:rPr>
          <w:rFonts w:ascii="Cambria Math" w:eastAsia="Malgun Gothic" w:hAnsi="Cambria Math" w:cs="Cambria Math"/>
          <w:sz w:val="22"/>
          <w:szCs w:val="22"/>
          <w:lang w:val="en-US" w:eastAsia="en-US"/>
        </w:rPr>
        <w:t>𝑿</w:t>
      </w:r>
      <w:r w:rsidR="00BB0E90" w:rsidRPr="00BB0E90">
        <w:rPr>
          <w:rFonts w:eastAsia="Malgun Gothic"/>
          <w:sz w:val="22"/>
          <w:szCs w:val="22"/>
          <w:lang w:val="en-US" w:eastAsia="en-US"/>
        </w:rPr>
        <w:t>.</w:t>
      </w:r>
    </w:p>
    <w:p w14:paraId="1FFA214E" w14:textId="77777777" w:rsidR="00F41170" w:rsidRDefault="00956195" w:rsidP="007D245A">
      <w:pPr>
        <w:spacing w:after="120"/>
        <w:jc w:val="both"/>
        <w:rPr>
          <w:rFonts w:eastAsia="Malgun Gothic"/>
          <w:sz w:val="22"/>
          <w:szCs w:val="22"/>
          <w:lang w:val="en-US" w:eastAsia="en-US"/>
        </w:rPr>
      </w:pPr>
      <w:r>
        <w:rPr>
          <w:rFonts w:eastAsia="Malgun Gothic"/>
          <w:sz w:val="22"/>
          <w:szCs w:val="22"/>
          <w:lang w:val="en-US" w:eastAsia="en-US"/>
        </w:rPr>
        <w:t xml:space="preserve">Since </w:t>
      </w:r>
      <w:r w:rsidRPr="00956195">
        <w:rPr>
          <w:rFonts w:eastAsia="Malgun Gothic"/>
          <w:sz w:val="22"/>
          <w:szCs w:val="22"/>
          <w:lang w:val="en-US" w:eastAsia="en-US"/>
        </w:rPr>
        <w:t>single SAN Tx beam per radio cell in DL</w:t>
      </w:r>
      <w:r>
        <w:rPr>
          <w:rFonts w:eastAsia="Malgun Gothic"/>
          <w:sz w:val="22"/>
          <w:szCs w:val="22"/>
          <w:lang w:val="en-US" w:eastAsia="en-US"/>
        </w:rPr>
        <w:t xml:space="preserve"> is assumption, we see no need for further discussion in RAN1 for Type 1 VSAT (electronically steered beam) and Type 2 VSAT (mechanically steered beam). </w:t>
      </w:r>
      <w:r w:rsidR="00F41170">
        <w:rPr>
          <w:rFonts w:eastAsia="Malgun Gothic"/>
          <w:sz w:val="22"/>
          <w:szCs w:val="22"/>
          <w:lang w:val="en-US" w:eastAsia="en-US"/>
        </w:rPr>
        <w:t>We make the following observations:</w:t>
      </w:r>
    </w:p>
    <w:p w14:paraId="738F51BC" w14:textId="5BCAD2C4" w:rsidR="00A956C0" w:rsidRPr="00F41170" w:rsidRDefault="00F41170" w:rsidP="007D245A">
      <w:pPr>
        <w:spacing w:after="120"/>
        <w:jc w:val="both"/>
        <w:rPr>
          <w:rFonts w:eastAsia="Malgun Gothic"/>
          <w:i/>
          <w:iCs/>
          <w:sz w:val="22"/>
          <w:szCs w:val="22"/>
          <w:lang w:val="en-US" w:eastAsia="en-US"/>
        </w:rPr>
      </w:pPr>
      <w:r w:rsidRPr="00F41170">
        <w:rPr>
          <w:rFonts w:eastAsia="Malgun Gothic"/>
          <w:b/>
          <w:bCs/>
          <w:i/>
          <w:iCs/>
          <w:sz w:val="22"/>
          <w:szCs w:val="22"/>
          <w:lang w:val="en-US" w:eastAsia="en-US"/>
        </w:rPr>
        <w:lastRenderedPageBreak/>
        <w:t xml:space="preserve">Observation </w:t>
      </w:r>
      <w:r w:rsidR="00DF38B0">
        <w:rPr>
          <w:rFonts w:eastAsia="Malgun Gothic"/>
          <w:b/>
          <w:bCs/>
          <w:i/>
          <w:iCs/>
          <w:sz w:val="22"/>
          <w:szCs w:val="22"/>
          <w:lang w:val="en-US" w:eastAsia="en-US"/>
        </w:rPr>
        <w:t>1</w:t>
      </w:r>
      <w:r w:rsidRPr="00F41170">
        <w:rPr>
          <w:rFonts w:eastAsia="Malgun Gothic"/>
          <w:b/>
          <w:bCs/>
          <w:i/>
          <w:iCs/>
          <w:sz w:val="22"/>
          <w:szCs w:val="22"/>
          <w:lang w:val="en-US" w:eastAsia="en-US"/>
        </w:rPr>
        <w:t>:</w:t>
      </w:r>
      <w:r w:rsidRPr="00F41170">
        <w:rPr>
          <w:rFonts w:eastAsia="Malgun Gothic"/>
          <w:i/>
          <w:iCs/>
          <w:sz w:val="22"/>
          <w:szCs w:val="22"/>
          <w:lang w:val="en-US" w:eastAsia="en-US"/>
        </w:rPr>
        <w:t xml:space="preserve"> </w:t>
      </w:r>
      <w:r w:rsidR="00BB0E90" w:rsidRPr="00F41170">
        <w:rPr>
          <w:rFonts w:eastAsia="Malgun Gothic"/>
          <w:i/>
          <w:iCs/>
          <w:sz w:val="22"/>
          <w:szCs w:val="22"/>
          <w:lang w:val="en-US" w:eastAsia="en-US"/>
        </w:rPr>
        <w:t xml:space="preserve">Since there is </w:t>
      </w:r>
      <w:r w:rsidR="00DF38B0">
        <w:rPr>
          <w:rFonts w:eastAsia="Malgun Gothic"/>
          <w:i/>
          <w:iCs/>
          <w:sz w:val="22"/>
          <w:szCs w:val="22"/>
          <w:lang w:val="en-US" w:eastAsia="en-US"/>
        </w:rPr>
        <w:t>a</w:t>
      </w:r>
      <w:r w:rsidR="00BB0E90" w:rsidRPr="00F41170">
        <w:rPr>
          <w:rFonts w:eastAsia="Malgun Gothic"/>
          <w:i/>
          <w:iCs/>
          <w:sz w:val="22"/>
          <w:szCs w:val="22"/>
          <w:lang w:val="en-US" w:eastAsia="en-US"/>
        </w:rPr>
        <w:t xml:space="preserve"> </w:t>
      </w:r>
      <w:r w:rsidR="00DF38B0">
        <w:rPr>
          <w:rFonts w:eastAsia="Malgun Gothic"/>
          <w:i/>
          <w:iCs/>
          <w:sz w:val="22"/>
          <w:szCs w:val="22"/>
          <w:lang w:val="en-US" w:eastAsia="en-US"/>
        </w:rPr>
        <w:t xml:space="preserve">single SAN Tx beam per radio </w:t>
      </w:r>
      <w:r w:rsidR="00BB0E90" w:rsidRPr="00F41170">
        <w:rPr>
          <w:rFonts w:eastAsia="Malgun Gothic"/>
          <w:i/>
          <w:iCs/>
          <w:sz w:val="22"/>
          <w:szCs w:val="22"/>
          <w:lang w:val="en-US" w:eastAsia="en-US"/>
        </w:rPr>
        <w:t xml:space="preserve">cell, there is no discontinuity when the beam is switched within the serving satellite. </w:t>
      </w:r>
      <w:r w:rsidR="00DF38B0" w:rsidRPr="00DF38B0">
        <w:rPr>
          <w:rFonts w:eastAsia="Malgun Gothic"/>
          <w:i/>
          <w:iCs/>
          <w:sz w:val="22"/>
          <w:szCs w:val="22"/>
          <w:lang w:val="en-US" w:eastAsia="en-US"/>
        </w:rPr>
        <w:t>The UE VSAT Type 1 or Type 2 can be expected to continuously track the satellite direction.</w:t>
      </w:r>
    </w:p>
    <w:p w14:paraId="0C36149A" w14:textId="3B82EA67" w:rsidR="00A956C0" w:rsidRPr="00DF38B0" w:rsidRDefault="00DF38B0" w:rsidP="007D245A">
      <w:pPr>
        <w:spacing w:after="120"/>
        <w:jc w:val="both"/>
        <w:rPr>
          <w:rFonts w:eastAsia="Malgun Gothic"/>
          <w:i/>
          <w:iCs/>
          <w:sz w:val="22"/>
          <w:szCs w:val="22"/>
          <w:lang w:val="en-US" w:eastAsia="en-US"/>
        </w:rPr>
      </w:pPr>
      <w:r w:rsidRPr="00DF38B0">
        <w:rPr>
          <w:rFonts w:eastAsia="Malgun Gothic"/>
          <w:b/>
          <w:bCs/>
          <w:i/>
          <w:iCs/>
          <w:sz w:val="22"/>
          <w:szCs w:val="22"/>
          <w:lang w:val="en-US" w:eastAsia="en-US"/>
        </w:rPr>
        <w:t xml:space="preserve">Observation </w:t>
      </w:r>
      <w:r>
        <w:rPr>
          <w:rFonts w:eastAsia="Malgun Gothic"/>
          <w:b/>
          <w:bCs/>
          <w:i/>
          <w:iCs/>
          <w:sz w:val="22"/>
          <w:szCs w:val="22"/>
          <w:lang w:val="en-US" w:eastAsia="en-US"/>
        </w:rPr>
        <w:t>2</w:t>
      </w:r>
      <w:r w:rsidRPr="00DF38B0">
        <w:rPr>
          <w:rFonts w:eastAsia="Malgun Gothic"/>
          <w:i/>
          <w:iCs/>
          <w:sz w:val="22"/>
          <w:szCs w:val="22"/>
          <w:lang w:val="en-US" w:eastAsia="en-US"/>
        </w:rPr>
        <w:t xml:space="preserve">: LS to RAN4 to clarify the use case for using MAC-CE to trigger mechanical beam steering and provide typical application delay range for a mechanical beam VSAT antenna to reach new direction for single SAN Tx beam per radio cell in DL is not necessary. </w:t>
      </w:r>
    </w:p>
    <w:p w14:paraId="366719D4" w14:textId="2C56B189" w:rsidR="00A956C0" w:rsidRDefault="00A956C0" w:rsidP="007D245A">
      <w:pPr>
        <w:spacing w:after="120"/>
        <w:jc w:val="both"/>
        <w:rPr>
          <w:rFonts w:eastAsia="Malgun Gothic"/>
          <w:sz w:val="22"/>
          <w:szCs w:val="22"/>
          <w:lang w:val="en-US" w:eastAsia="en-US"/>
        </w:rPr>
      </w:pPr>
    </w:p>
    <w:p w14:paraId="14E58E3E" w14:textId="64E03A38" w:rsidR="00A956C0" w:rsidRPr="00D84F11" w:rsidRDefault="00D84F11" w:rsidP="00D84F11">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4 </w:t>
      </w:r>
      <w:r w:rsidRPr="00D84F11">
        <w:rPr>
          <w:rFonts w:ascii="Times New Roman" w:eastAsia="Batang" w:hAnsi="Times New Roman" w:cs="Times New Roman"/>
          <w:bCs w:val="0"/>
          <w:lang w:val="en-US" w:eastAsia="ko-KR"/>
        </w:rPr>
        <w:t>Reference subcarrier spacing for FR2-NTN</w:t>
      </w:r>
    </w:p>
    <w:p w14:paraId="56414EBE" w14:textId="44BC4204" w:rsidR="00D84F11" w:rsidRPr="00D84F11" w:rsidRDefault="00D84F11" w:rsidP="00D84F11">
      <w:pPr>
        <w:spacing w:after="120"/>
        <w:jc w:val="both"/>
        <w:rPr>
          <w:rFonts w:eastAsia="Malgun Gothic"/>
          <w:sz w:val="22"/>
          <w:szCs w:val="22"/>
          <w:lang w:val="en-US" w:eastAsia="en-US"/>
        </w:rPr>
      </w:pPr>
      <w:bookmarkStart w:id="1" w:name="_Hlk146913608"/>
      <w:r>
        <w:rPr>
          <w:rFonts w:eastAsia="Malgun Gothic"/>
          <w:sz w:val="22"/>
          <w:szCs w:val="22"/>
          <w:lang w:val="en-US" w:eastAsia="en-US"/>
        </w:rPr>
        <w:t xml:space="preserve">The issue was discussed in Topic 5 in [4]. </w:t>
      </w:r>
      <w:bookmarkEnd w:id="1"/>
      <w:r>
        <w:rPr>
          <w:rFonts w:eastAsia="Malgun Gothic"/>
          <w:sz w:val="22"/>
          <w:szCs w:val="22"/>
          <w:lang w:val="en-US" w:eastAsia="en-US"/>
        </w:rPr>
        <w:t>A</w:t>
      </w:r>
      <w:r w:rsidRPr="00D84F11">
        <w:rPr>
          <w:rFonts w:eastAsia="Malgun Gothic"/>
          <w:sz w:val="22"/>
          <w:szCs w:val="22"/>
          <w:lang w:val="en-US" w:eastAsia="en-US"/>
        </w:rPr>
        <w:t xml:space="preserve"> number of options for addressing the reference subcarrier spacing for NR over NTN for FR2-NTN</w:t>
      </w:r>
      <w:r>
        <w:rPr>
          <w:rFonts w:eastAsia="Malgun Gothic"/>
          <w:sz w:val="22"/>
          <w:szCs w:val="22"/>
          <w:lang w:val="en-US" w:eastAsia="en-US"/>
        </w:rPr>
        <w:t xml:space="preserve"> were discussed</w:t>
      </w:r>
      <w:r w:rsidRPr="00D84F11">
        <w:rPr>
          <w:rFonts w:eastAsia="Malgun Gothic"/>
          <w:sz w:val="22"/>
          <w:szCs w:val="22"/>
          <w:lang w:val="en-US" w:eastAsia="en-US"/>
        </w:rPr>
        <w:t>:</w:t>
      </w:r>
    </w:p>
    <w:p w14:paraId="3C0E0568" w14:textId="77777777" w:rsidR="00D84F11" w:rsidRPr="00D84F11" w:rsidRDefault="00D84F11" w:rsidP="00D84F11">
      <w:pPr>
        <w:pStyle w:val="ListParagraph"/>
        <w:numPr>
          <w:ilvl w:val="0"/>
          <w:numId w:val="22"/>
        </w:numPr>
        <w:spacing w:after="120"/>
        <w:ind w:leftChars="0"/>
        <w:jc w:val="both"/>
        <w:rPr>
          <w:rFonts w:eastAsia="Malgun Gothic"/>
          <w:sz w:val="22"/>
          <w:szCs w:val="22"/>
          <w:lang w:val="en-US" w:eastAsia="en-US"/>
        </w:rPr>
      </w:pPr>
      <w:r w:rsidRPr="00D84F11">
        <w:rPr>
          <w:rFonts w:eastAsia="Malgun Gothic"/>
          <w:sz w:val="22"/>
          <w:szCs w:val="22"/>
          <w:lang w:val="en-US" w:eastAsia="en-US"/>
        </w:rPr>
        <w:t>Alt 1: Keep the reference subcarrier spacing as for Rel-17 (meaning that K_offset and K_mac are defined with ms granularity)</w:t>
      </w:r>
    </w:p>
    <w:p w14:paraId="00F246C5" w14:textId="77777777" w:rsidR="00D84F11" w:rsidRPr="00D84F11" w:rsidRDefault="00D84F11" w:rsidP="00D84F11">
      <w:pPr>
        <w:pStyle w:val="ListParagraph"/>
        <w:numPr>
          <w:ilvl w:val="0"/>
          <w:numId w:val="22"/>
        </w:numPr>
        <w:spacing w:after="120"/>
        <w:ind w:leftChars="0"/>
        <w:jc w:val="both"/>
        <w:rPr>
          <w:rFonts w:eastAsia="Malgun Gothic"/>
          <w:sz w:val="22"/>
          <w:szCs w:val="22"/>
          <w:lang w:val="en-US" w:eastAsia="en-US"/>
        </w:rPr>
      </w:pPr>
      <w:r w:rsidRPr="00D84F11">
        <w:rPr>
          <w:rFonts w:eastAsia="Malgun Gothic"/>
          <w:sz w:val="22"/>
          <w:szCs w:val="22"/>
          <w:lang w:val="en-US" w:eastAsia="en-US"/>
        </w:rPr>
        <w:t>Alt 2: Change the reference subcarrier spacing to match one of the SCS as available for FR2-NTN (limiting the time range that can be indicated by the parameters).</w:t>
      </w:r>
    </w:p>
    <w:p w14:paraId="69919AD4" w14:textId="77777777" w:rsidR="00D84F11" w:rsidRPr="00D84F11" w:rsidRDefault="00D84F11" w:rsidP="00D84F11">
      <w:pPr>
        <w:pStyle w:val="ListParagraph"/>
        <w:numPr>
          <w:ilvl w:val="0"/>
          <w:numId w:val="22"/>
        </w:numPr>
        <w:spacing w:after="120"/>
        <w:ind w:leftChars="0"/>
        <w:jc w:val="both"/>
        <w:rPr>
          <w:rFonts w:eastAsia="Malgun Gothic"/>
          <w:sz w:val="22"/>
          <w:szCs w:val="22"/>
          <w:lang w:val="en-US" w:eastAsia="en-US"/>
        </w:rPr>
      </w:pPr>
      <w:r w:rsidRPr="00D84F11">
        <w:rPr>
          <w:rFonts w:eastAsia="Malgun Gothic"/>
          <w:sz w:val="22"/>
          <w:szCs w:val="22"/>
          <w:lang w:val="en-US" w:eastAsia="en-US"/>
        </w:rPr>
        <w:t>Alt 3: Change the reference subcarrier spacing to match one of the SCS as available for FR2-NTN and expand the signaling range for the parameters of K_offset and K_mac.</w:t>
      </w:r>
    </w:p>
    <w:p w14:paraId="5BC83B28" w14:textId="2F20FAFF" w:rsidR="00D84F11" w:rsidRPr="00D84F11" w:rsidRDefault="00D84F11" w:rsidP="00D84F11">
      <w:pPr>
        <w:pStyle w:val="ListParagraph"/>
        <w:numPr>
          <w:ilvl w:val="0"/>
          <w:numId w:val="22"/>
        </w:numPr>
        <w:spacing w:after="120"/>
        <w:ind w:leftChars="0"/>
        <w:jc w:val="both"/>
        <w:rPr>
          <w:rFonts w:eastAsia="Malgun Gothic"/>
          <w:sz w:val="22"/>
          <w:szCs w:val="22"/>
          <w:lang w:val="en-US" w:eastAsia="en-US"/>
        </w:rPr>
      </w:pPr>
      <w:r w:rsidRPr="00D84F11">
        <w:rPr>
          <w:rFonts w:eastAsia="Malgun Gothic"/>
          <w:sz w:val="22"/>
          <w:szCs w:val="22"/>
          <w:lang w:val="en-US" w:eastAsia="en-US"/>
        </w:rPr>
        <w:t>Alt 4: Other.</w:t>
      </w:r>
    </w:p>
    <w:p w14:paraId="2943F118" w14:textId="778592EA" w:rsidR="00D84F11" w:rsidRPr="00D84F11" w:rsidRDefault="00D84F11" w:rsidP="007D245A">
      <w:pPr>
        <w:spacing w:after="120"/>
        <w:jc w:val="both"/>
        <w:rPr>
          <w:rFonts w:eastAsia="Malgun Gothic"/>
          <w:sz w:val="20"/>
          <w:lang w:val="en-US" w:eastAsia="en-US"/>
        </w:rPr>
      </w:pPr>
    </w:p>
    <w:p w14:paraId="7D314106" w14:textId="509D17AA" w:rsidR="00D84F11" w:rsidRPr="00D84F11" w:rsidRDefault="00D84F11" w:rsidP="00D84F11">
      <w:pPr>
        <w:rPr>
          <w:sz w:val="22"/>
          <w:szCs w:val="18"/>
        </w:rPr>
      </w:pPr>
      <w:r w:rsidRPr="00D84F11">
        <w:rPr>
          <w:sz w:val="22"/>
          <w:szCs w:val="18"/>
        </w:rPr>
        <w:t>The reference sub-carrier spacing for FR2 is FFS based on RAN1 #106-bis-e agreement:</w:t>
      </w:r>
    </w:p>
    <w:p w14:paraId="65987CB6" w14:textId="77777777" w:rsidR="00D84F11" w:rsidRDefault="00D84F11" w:rsidP="00D84F11"/>
    <w:tbl>
      <w:tblPr>
        <w:tblStyle w:val="TableGrid"/>
        <w:tblW w:w="0" w:type="auto"/>
        <w:tblLook w:val="04A0" w:firstRow="1" w:lastRow="0" w:firstColumn="1" w:lastColumn="0" w:noHBand="0" w:noVBand="1"/>
      </w:tblPr>
      <w:tblGrid>
        <w:gridCol w:w="9061"/>
      </w:tblGrid>
      <w:tr w:rsidR="00D84F11" w14:paraId="18FED4A9" w14:textId="77777777" w:rsidTr="003F395F">
        <w:tc>
          <w:tcPr>
            <w:tcW w:w="9061" w:type="dxa"/>
          </w:tcPr>
          <w:p w14:paraId="25F543EF" w14:textId="77777777" w:rsidR="00D84F11" w:rsidRPr="00D84F11" w:rsidRDefault="00D84F11" w:rsidP="003F395F">
            <w:pPr>
              <w:ind w:left="480" w:hanging="480"/>
              <w:rPr>
                <w:sz w:val="20"/>
                <w:szCs w:val="16"/>
                <w:highlight w:val="green"/>
                <w:lang w:eastAsia="x-none"/>
              </w:rPr>
            </w:pPr>
            <w:r w:rsidRPr="00D84F11">
              <w:rPr>
                <w:sz w:val="20"/>
                <w:szCs w:val="16"/>
                <w:lang w:eastAsia="x-none"/>
              </w:rPr>
              <w:t>RAN1 #106-bis-e:</w:t>
            </w:r>
          </w:p>
          <w:p w14:paraId="4D3BFE4A" w14:textId="77777777" w:rsidR="00D84F11" w:rsidRPr="00D84F11" w:rsidRDefault="00D84F11" w:rsidP="003F395F">
            <w:pPr>
              <w:ind w:left="480" w:hanging="480"/>
              <w:rPr>
                <w:sz w:val="20"/>
                <w:szCs w:val="16"/>
                <w:lang w:eastAsia="x-none"/>
              </w:rPr>
            </w:pPr>
            <w:r w:rsidRPr="00D84F11">
              <w:rPr>
                <w:sz w:val="20"/>
                <w:szCs w:val="16"/>
                <w:highlight w:val="green"/>
                <w:lang w:eastAsia="x-none"/>
              </w:rPr>
              <w:t>Agreement:</w:t>
            </w:r>
          </w:p>
          <w:p w14:paraId="11974E41" w14:textId="77777777" w:rsidR="00D84F11" w:rsidRPr="00D84F11" w:rsidRDefault="00D84F11" w:rsidP="00D84F11">
            <w:pPr>
              <w:pStyle w:val="ListParagraph"/>
              <w:widowControl w:val="0"/>
              <w:numPr>
                <w:ilvl w:val="0"/>
                <w:numId w:val="26"/>
              </w:numPr>
              <w:ind w:leftChars="0"/>
              <w:jc w:val="both"/>
              <w:rPr>
                <w:sz w:val="20"/>
                <w:szCs w:val="16"/>
                <w:lang w:eastAsia="x-none"/>
              </w:rPr>
            </w:pPr>
            <w:r w:rsidRPr="00D84F11">
              <w:rPr>
                <w:sz w:val="20"/>
                <w:szCs w:val="16"/>
                <w:lang w:eastAsia="x-none"/>
              </w:rPr>
              <w:t>For the reference subcarrier spacing value for the unit of K_offset in FR1, a value of 15 kHz is used.</w:t>
            </w:r>
          </w:p>
          <w:p w14:paraId="74A1C045" w14:textId="77777777" w:rsidR="00D84F11" w:rsidRPr="00D84F11" w:rsidRDefault="00D84F11" w:rsidP="00D84F11">
            <w:pPr>
              <w:pStyle w:val="ListParagraph"/>
              <w:widowControl w:val="0"/>
              <w:numPr>
                <w:ilvl w:val="0"/>
                <w:numId w:val="26"/>
              </w:numPr>
              <w:ind w:leftChars="0"/>
              <w:jc w:val="both"/>
              <w:rPr>
                <w:sz w:val="20"/>
                <w:szCs w:val="16"/>
                <w:lang w:eastAsia="x-none"/>
              </w:rPr>
            </w:pPr>
            <w:r w:rsidRPr="00D84F11">
              <w:rPr>
                <w:sz w:val="20"/>
                <w:szCs w:val="16"/>
                <w:lang w:eastAsia="x-none"/>
              </w:rPr>
              <w:t>FFS: FR2</w:t>
            </w:r>
          </w:p>
          <w:p w14:paraId="7C59FACB" w14:textId="77777777" w:rsidR="00D84F11" w:rsidRPr="00D84F11" w:rsidRDefault="00D84F11" w:rsidP="003F395F">
            <w:pPr>
              <w:ind w:left="480" w:hanging="480"/>
              <w:rPr>
                <w:sz w:val="20"/>
                <w:szCs w:val="16"/>
                <w:lang w:eastAsia="x-none"/>
              </w:rPr>
            </w:pPr>
            <w:r w:rsidRPr="00D84F11">
              <w:rPr>
                <w:sz w:val="20"/>
                <w:szCs w:val="16"/>
                <w:highlight w:val="green"/>
                <w:lang w:eastAsia="x-none"/>
              </w:rPr>
              <w:t>Agreement:</w:t>
            </w:r>
          </w:p>
          <w:p w14:paraId="22F734F6" w14:textId="77777777" w:rsidR="00D84F11" w:rsidRPr="00D84F11" w:rsidRDefault="00D84F11" w:rsidP="003F395F">
            <w:pPr>
              <w:ind w:left="480" w:hanging="480"/>
              <w:rPr>
                <w:sz w:val="20"/>
                <w:szCs w:val="16"/>
                <w:lang w:eastAsia="x-none"/>
              </w:rPr>
            </w:pPr>
            <w:r w:rsidRPr="00D84F11">
              <w:rPr>
                <w:sz w:val="20"/>
                <w:szCs w:val="16"/>
                <w:lang w:eastAsia="x-none"/>
              </w:rPr>
              <w:t>For the reference subcarrier spacing value for the unit of K_mac in FR1, a value of 15 kHz is used.</w:t>
            </w:r>
          </w:p>
          <w:p w14:paraId="00B7748C" w14:textId="77777777" w:rsidR="00D84F11" w:rsidRDefault="00D84F11" w:rsidP="00D84F11">
            <w:pPr>
              <w:pStyle w:val="ListParagraph"/>
              <w:widowControl w:val="0"/>
              <w:numPr>
                <w:ilvl w:val="0"/>
                <w:numId w:val="27"/>
              </w:numPr>
              <w:ind w:leftChars="0"/>
              <w:jc w:val="both"/>
              <w:rPr>
                <w:lang w:eastAsia="x-none"/>
              </w:rPr>
            </w:pPr>
            <w:r w:rsidRPr="00D84F11">
              <w:rPr>
                <w:sz w:val="20"/>
                <w:szCs w:val="16"/>
                <w:lang w:eastAsia="x-none"/>
              </w:rPr>
              <w:t>FFS: FR2</w:t>
            </w:r>
          </w:p>
        </w:tc>
      </w:tr>
    </w:tbl>
    <w:p w14:paraId="03311AE9" w14:textId="77777777" w:rsidR="00D84F11" w:rsidRDefault="00D84F11" w:rsidP="00D84F11"/>
    <w:p w14:paraId="62159EFA" w14:textId="1D215B62" w:rsidR="00D84F11" w:rsidRDefault="00D84F11" w:rsidP="00D84F11">
      <w:pPr>
        <w:rPr>
          <w:sz w:val="22"/>
          <w:szCs w:val="22"/>
        </w:rPr>
      </w:pPr>
      <w:r w:rsidRPr="00D84F11">
        <w:rPr>
          <w:sz w:val="22"/>
          <w:szCs w:val="22"/>
        </w:rPr>
        <w:t>The Koffset is specified in TS 38.300 Section 16.14.2.1 to be a configured scheduling offset that needs to be larger or equal to the sum of the service link RTT and the Common TA.</w:t>
      </w:r>
    </w:p>
    <w:p w14:paraId="23BB845D" w14:textId="6BD19B61" w:rsidR="00D84F11" w:rsidRDefault="00D84F11" w:rsidP="00D84F11">
      <w:pPr>
        <w:rPr>
          <w:sz w:val="22"/>
          <w:szCs w:val="22"/>
        </w:rPr>
      </w:pPr>
    </w:p>
    <w:p w14:paraId="6342CFE6" w14:textId="3961EC20" w:rsidR="00D84F11" w:rsidRDefault="00D84F11" w:rsidP="00D84F11">
      <w:pPr>
        <w:rPr>
          <w:sz w:val="22"/>
          <w:szCs w:val="22"/>
        </w:rPr>
      </w:pPr>
    </w:p>
    <w:p w14:paraId="7D48E216" w14:textId="7CAC4F7A" w:rsidR="00D84F11" w:rsidRDefault="00D84F11" w:rsidP="00D84F11">
      <w:pPr>
        <w:rPr>
          <w:sz w:val="22"/>
          <w:szCs w:val="22"/>
        </w:rPr>
      </w:pPr>
      <w:r w:rsidRPr="00D84F11">
        <w:rPr>
          <w:noProof/>
          <w:sz w:val="22"/>
          <w:szCs w:val="22"/>
        </w:rPr>
        <mc:AlternateContent>
          <mc:Choice Requires="wps">
            <w:drawing>
              <wp:anchor distT="45720" distB="45720" distL="114300" distR="114300" simplePos="0" relativeHeight="251734016" behindDoc="0" locked="0" layoutInCell="1" allowOverlap="1" wp14:anchorId="2E5E2608" wp14:editId="3672BD3C">
                <wp:simplePos x="0" y="0"/>
                <wp:positionH relativeFrom="column">
                  <wp:posOffset>1044575</wp:posOffset>
                </wp:positionH>
                <wp:positionV relativeFrom="paragraph">
                  <wp:posOffset>19685</wp:posOffset>
                </wp:positionV>
                <wp:extent cx="2783205" cy="1778000"/>
                <wp:effectExtent l="0" t="0" r="17145"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3205" cy="1778000"/>
                        </a:xfrm>
                        <a:prstGeom prst="rect">
                          <a:avLst/>
                        </a:prstGeom>
                        <a:solidFill>
                          <a:srgbClr val="FFFFFF"/>
                        </a:solidFill>
                        <a:ln w="9525">
                          <a:solidFill>
                            <a:srgbClr val="000000"/>
                          </a:solidFill>
                          <a:miter lim="800000"/>
                          <a:headEnd/>
                          <a:tailEnd/>
                        </a:ln>
                      </wps:spPr>
                      <wps:txbx>
                        <w:txbxContent>
                          <w:p w14:paraId="4BADFA6D" w14:textId="19A80EA9" w:rsidR="00D84F11" w:rsidRDefault="00D84F11">
                            <w:r>
                              <w:rPr>
                                <w:noProof/>
                              </w:rPr>
                              <w:drawing>
                                <wp:inline distT="0" distB="0" distL="0" distR="0" wp14:anchorId="54E5673C" wp14:editId="7FB65A9C">
                                  <wp:extent cx="2519045" cy="1677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19045" cy="167767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5E2608" id="_x0000_s1028" type="#_x0000_t202" style="position:absolute;margin-left:82.25pt;margin-top:1.55pt;width:219.15pt;height:140pt;z-index:251734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">
                <v:textbox>
                  <w:txbxContent>
                    <w:p w14:paraId="4BADFA6D" w14:textId="19A80EA9" w:rsidR="00D84F11" w:rsidRDefault="00D84F11">
                      <w:r>
                        <w:rPr>
                          <w:noProof/>
                        </w:rPr>
                        <w:drawing>
                          <wp:inline distT="0" distB="0" distL="0" distR="0" wp14:anchorId="54E5673C" wp14:editId="7FB65A9C">
                            <wp:extent cx="2519045" cy="1677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19045" cy="1677670"/>
                                    </a:xfrm>
                                    <a:prstGeom prst="rect">
                                      <a:avLst/>
                                    </a:prstGeom>
                                  </pic:spPr>
                                </pic:pic>
                              </a:graphicData>
                            </a:graphic>
                          </wp:inline>
                        </w:drawing>
                      </w:r>
                    </w:p>
                  </w:txbxContent>
                </v:textbox>
                <w10:wrap type="square"/>
              </v:shape>
            </w:pict>
          </mc:Fallback>
        </mc:AlternateContent>
      </w:r>
    </w:p>
    <w:p w14:paraId="2513ACA8" w14:textId="7ED36C8A" w:rsidR="00D84F11" w:rsidRDefault="00D84F11" w:rsidP="00D84F11">
      <w:pPr>
        <w:rPr>
          <w:sz w:val="22"/>
          <w:szCs w:val="22"/>
        </w:rPr>
      </w:pPr>
    </w:p>
    <w:p w14:paraId="0FF7DD3A" w14:textId="32EEAD8C" w:rsidR="00D84F11" w:rsidRDefault="00D84F11" w:rsidP="00D84F11">
      <w:pPr>
        <w:rPr>
          <w:sz w:val="22"/>
          <w:szCs w:val="22"/>
        </w:rPr>
      </w:pPr>
    </w:p>
    <w:p w14:paraId="0984A589" w14:textId="40CF2BCC" w:rsidR="00D84F11" w:rsidRDefault="00D84F11" w:rsidP="00D84F11">
      <w:pPr>
        <w:rPr>
          <w:sz w:val="22"/>
          <w:szCs w:val="22"/>
        </w:rPr>
      </w:pPr>
    </w:p>
    <w:p w14:paraId="66CFFF55" w14:textId="548351FE" w:rsidR="00D84F11" w:rsidRDefault="00D84F11" w:rsidP="00D84F11">
      <w:pPr>
        <w:rPr>
          <w:sz w:val="22"/>
          <w:szCs w:val="22"/>
        </w:rPr>
      </w:pPr>
    </w:p>
    <w:p w14:paraId="4CED6F9D" w14:textId="4BDFBAEB" w:rsidR="00D84F11" w:rsidRDefault="00D84F11" w:rsidP="00D84F11">
      <w:pPr>
        <w:rPr>
          <w:sz w:val="22"/>
          <w:szCs w:val="22"/>
        </w:rPr>
      </w:pPr>
    </w:p>
    <w:p w14:paraId="61129DE3" w14:textId="22400979" w:rsidR="00D84F11" w:rsidRDefault="00D84F11" w:rsidP="00D84F11">
      <w:pPr>
        <w:rPr>
          <w:sz w:val="22"/>
          <w:szCs w:val="22"/>
        </w:rPr>
      </w:pPr>
    </w:p>
    <w:p w14:paraId="0DB8320A" w14:textId="77777777" w:rsidR="00D84F11" w:rsidRDefault="00D84F11" w:rsidP="00D84F11">
      <w:pPr>
        <w:rPr>
          <w:sz w:val="22"/>
          <w:szCs w:val="22"/>
        </w:rPr>
      </w:pPr>
    </w:p>
    <w:p w14:paraId="3512A2EF" w14:textId="77777777" w:rsidR="00D84F11" w:rsidRPr="00D84F11" w:rsidRDefault="00D84F11" w:rsidP="00D84F11">
      <w:pPr>
        <w:rPr>
          <w:sz w:val="22"/>
          <w:szCs w:val="22"/>
        </w:rPr>
      </w:pPr>
    </w:p>
    <w:p w14:paraId="72403481" w14:textId="77777777" w:rsidR="00D84F11" w:rsidRDefault="00D84F11" w:rsidP="00D84F11">
      <w:pPr>
        <w:rPr>
          <w:sz w:val="22"/>
          <w:szCs w:val="22"/>
        </w:rPr>
      </w:pPr>
      <w:r w:rsidRPr="00D84F11">
        <w:rPr>
          <w:sz w:val="22"/>
          <w:szCs w:val="22"/>
        </w:rPr>
        <w:t xml:space="preserve">  </w:t>
      </w:r>
    </w:p>
    <w:p w14:paraId="24ACE760" w14:textId="77777777" w:rsidR="00D84F11" w:rsidRDefault="00D84F11" w:rsidP="00D84F11">
      <w:pPr>
        <w:rPr>
          <w:sz w:val="22"/>
          <w:szCs w:val="22"/>
        </w:rPr>
      </w:pPr>
    </w:p>
    <w:p w14:paraId="496F9298" w14:textId="77777777" w:rsidR="00D84F11" w:rsidRDefault="00D84F11" w:rsidP="00D84F11">
      <w:pPr>
        <w:rPr>
          <w:sz w:val="22"/>
          <w:szCs w:val="22"/>
        </w:rPr>
      </w:pPr>
    </w:p>
    <w:p w14:paraId="27B7C93C" w14:textId="77777777" w:rsidR="00D84F11" w:rsidRDefault="00D84F11" w:rsidP="00D84F11">
      <w:pPr>
        <w:rPr>
          <w:sz w:val="22"/>
          <w:szCs w:val="22"/>
        </w:rPr>
      </w:pPr>
    </w:p>
    <w:p w14:paraId="034EC64F" w14:textId="3B5EF538" w:rsidR="00D84F11" w:rsidRDefault="00D84F11" w:rsidP="00D84F11">
      <w:pPr>
        <w:rPr>
          <w:sz w:val="22"/>
          <w:szCs w:val="22"/>
        </w:rPr>
      </w:pPr>
      <w:r>
        <w:rPr>
          <w:sz w:val="22"/>
          <w:szCs w:val="22"/>
        </w:rPr>
        <w:t xml:space="preserve">Figure 1: </w:t>
      </w:r>
      <w:r w:rsidRPr="00D84F11">
        <w:rPr>
          <w:sz w:val="22"/>
          <w:szCs w:val="22"/>
        </w:rPr>
        <w:t>Illustration of timing relationship (for collocated gNB and NTN Gateway)</w:t>
      </w:r>
    </w:p>
    <w:p w14:paraId="35556D11" w14:textId="77777777" w:rsidR="00945708" w:rsidRDefault="00945708" w:rsidP="00945708">
      <w:pPr>
        <w:spacing w:after="120"/>
        <w:jc w:val="both"/>
        <w:rPr>
          <w:rFonts w:eastAsia="Malgun Gothic"/>
          <w:sz w:val="22"/>
          <w:szCs w:val="22"/>
          <w:lang w:val="en-US" w:eastAsia="en-US"/>
        </w:rPr>
      </w:pPr>
      <w:r>
        <w:rPr>
          <w:rFonts w:eastAsia="Malgun Gothic"/>
          <w:sz w:val="22"/>
          <w:szCs w:val="22"/>
          <w:lang w:val="en-US" w:eastAsia="en-US"/>
        </w:rPr>
        <w:lastRenderedPageBreak/>
        <w:t>In [4], it was proposed that t</w:t>
      </w:r>
      <w:r w:rsidRPr="00D84F11">
        <w:rPr>
          <w:rFonts w:eastAsia="Malgun Gothic"/>
          <w:sz w:val="22"/>
          <w:szCs w:val="22"/>
          <w:lang w:val="en-US" w:eastAsia="en-US"/>
        </w:rPr>
        <w:t>he reference subcarrier spacing value for the unit of K_offset and K_mac is 120 kHz for FR2-NTN.</w:t>
      </w:r>
    </w:p>
    <w:p w14:paraId="6B76E4FD" w14:textId="77777777" w:rsidR="00945708" w:rsidRDefault="00D84F11" w:rsidP="00D84F11">
      <w:pPr>
        <w:rPr>
          <w:sz w:val="22"/>
          <w:szCs w:val="22"/>
        </w:rPr>
      </w:pPr>
      <w:r w:rsidRPr="00D84F11">
        <w:rPr>
          <w:sz w:val="22"/>
          <w:szCs w:val="22"/>
        </w:rPr>
        <w:t xml:space="preserve">The </w:t>
      </w:r>
      <w:r w:rsidR="00945708">
        <w:rPr>
          <w:sz w:val="22"/>
          <w:szCs w:val="22"/>
        </w:rPr>
        <w:t xml:space="preserve">specified </w:t>
      </w:r>
      <w:r w:rsidRPr="00D84F11">
        <w:rPr>
          <w:sz w:val="22"/>
          <w:szCs w:val="22"/>
        </w:rPr>
        <w:t>value range of cell specific K</w:t>
      </w:r>
      <w:r w:rsidRPr="00D84F11">
        <w:rPr>
          <w:sz w:val="22"/>
          <w:szCs w:val="22"/>
          <w:vertAlign w:val="subscript"/>
        </w:rPr>
        <w:t>offset</w:t>
      </w:r>
      <w:r w:rsidRPr="00D84F11">
        <w:rPr>
          <w:sz w:val="22"/>
          <w:szCs w:val="22"/>
        </w:rPr>
        <w:t xml:space="preserve"> is 0 – 1023 ms and </w:t>
      </w:r>
      <w:r w:rsidRPr="00D84F11">
        <w:rPr>
          <w:rFonts w:ascii="Times" w:hAnsi="Times" w:cs="Times"/>
          <w:sz w:val="22"/>
          <w:szCs w:val="22"/>
        </w:rPr>
        <w:t>the value range of the differential UE specific K</w:t>
      </w:r>
      <w:r w:rsidRPr="00D84F11">
        <w:rPr>
          <w:rFonts w:ascii="Times" w:hAnsi="Times" w:cs="Times"/>
          <w:sz w:val="22"/>
          <w:szCs w:val="22"/>
          <w:vertAlign w:val="subscript"/>
        </w:rPr>
        <w:t>offset</w:t>
      </w:r>
      <w:r w:rsidRPr="00D84F11">
        <w:rPr>
          <w:rFonts w:ascii="Times" w:hAnsi="Times" w:cs="Times"/>
          <w:sz w:val="22"/>
          <w:szCs w:val="22"/>
        </w:rPr>
        <w:t xml:space="preserve"> provided in MAC CE is 0 – 63 ms.</w:t>
      </w:r>
      <w:r w:rsidR="00945708">
        <w:rPr>
          <w:sz w:val="22"/>
          <w:szCs w:val="22"/>
        </w:rPr>
        <w:t xml:space="preserve"> </w:t>
      </w:r>
    </w:p>
    <w:p w14:paraId="7FC05D47" w14:textId="77777777" w:rsidR="00945708" w:rsidRDefault="00945708" w:rsidP="00D84F11">
      <w:pPr>
        <w:rPr>
          <w:sz w:val="22"/>
          <w:szCs w:val="22"/>
        </w:rPr>
      </w:pPr>
    </w:p>
    <w:p w14:paraId="4A923764" w14:textId="45343ACB" w:rsidR="00945708" w:rsidRDefault="00945708" w:rsidP="00D84F11">
      <w:pPr>
        <w:rPr>
          <w:sz w:val="22"/>
          <w:szCs w:val="22"/>
        </w:rPr>
      </w:pPr>
      <w:r w:rsidRPr="00D84F11">
        <w:rPr>
          <w:sz w:val="22"/>
          <w:szCs w:val="22"/>
        </w:rPr>
        <w:t>The minimum value of the K</w:t>
      </w:r>
      <w:r w:rsidRPr="00D84F11">
        <w:rPr>
          <w:sz w:val="22"/>
          <w:szCs w:val="22"/>
          <w:vertAlign w:val="subscript"/>
        </w:rPr>
        <w:t>offset</w:t>
      </w:r>
      <w:r w:rsidRPr="00D84F11">
        <w:rPr>
          <w:sz w:val="22"/>
          <w:szCs w:val="22"/>
        </w:rPr>
        <w:t xml:space="preserve"> assuming the satellite is at the Nadir and the UL Synchronization Reference Point (USRP) is at the satellite can correspond to the RTT = 4 ms for LEO-600 km ; the maximum value for LEO -600 km is at the minimum elevation angle and the USRP at the gNB on the ground with RTT of up to 25.77 ms (TR 38.821 Section 7.1.1). For GEO, the Koffset value can be much larger.</w:t>
      </w:r>
      <w:r>
        <w:rPr>
          <w:sz w:val="22"/>
          <w:szCs w:val="22"/>
        </w:rPr>
        <w:t xml:space="preserve"> </w:t>
      </w:r>
    </w:p>
    <w:p w14:paraId="28547F7D" w14:textId="77777777" w:rsidR="00945708" w:rsidRDefault="00945708" w:rsidP="00D84F11">
      <w:pPr>
        <w:rPr>
          <w:sz w:val="22"/>
          <w:szCs w:val="22"/>
        </w:rPr>
      </w:pPr>
    </w:p>
    <w:p w14:paraId="7A19D542" w14:textId="7CA82CC2" w:rsidR="00945708" w:rsidRDefault="00945708" w:rsidP="00D84F11">
      <w:pPr>
        <w:rPr>
          <w:sz w:val="22"/>
          <w:szCs w:val="22"/>
        </w:rPr>
      </w:pPr>
      <w:r>
        <w:rPr>
          <w:sz w:val="22"/>
          <w:szCs w:val="22"/>
        </w:rPr>
        <w:t xml:space="preserve">The Koffset is a scheduling parameter that does not need to be updated often. It is only necessary to avoid case where timing drift exceeds a slot duration, which will result in the wrong slot index assumption in the device. Assuming LEO=600 km and a satellite velocity of 7.562 km/s and SCS=60 kHz, the Koffset can be updated at most every 160 ms or every multiple of 160 ms in a more practical scheduler implementation; the Koffset may not need to be updated in case the cell-specific Koffset set to </w:t>
      </w:r>
      <w:r w:rsidRPr="00945708">
        <w:rPr>
          <w:sz w:val="22"/>
          <w:szCs w:val="22"/>
        </w:rPr>
        <w:t>be larger or equal</w:t>
      </w:r>
      <w:r>
        <w:rPr>
          <w:sz w:val="22"/>
          <w:szCs w:val="22"/>
        </w:rPr>
        <w:t xml:space="preserve"> the  </w:t>
      </w:r>
      <w:r w:rsidRPr="00945708">
        <w:rPr>
          <w:sz w:val="22"/>
          <w:szCs w:val="22"/>
        </w:rPr>
        <w:t>sum of the service link RTT and the Common TA</w:t>
      </w:r>
      <w:r>
        <w:rPr>
          <w:sz w:val="22"/>
          <w:szCs w:val="22"/>
        </w:rPr>
        <w:t xml:space="preserve"> and the max service link RTT is assumed. </w:t>
      </w:r>
    </w:p>
    <w:p w14:paraId="7E6962A5" w14:textId="77777777" w:rsidR="00945708" w:rsidRDefault="00945708" w:rsidP="00D84F11">
      <w:pPr>
        <w:rPr>
          <w:sz w:val="22"/>
          <w:szCs w:val="22"/>
        </w:rPr>
      </w:pPr>
    </w:p>
    <w:p w14:paraId="5BB9376B" w14:textId="0A8F3F05" w:rsidR="00945708" w:rsidRPr="00945708" w:rsidRDefault="00945708" w:rsidP="007D245A">
      <w:pPr>
        <w:spacing w:after="120"/>
        <w:jc w:val="both"/>
        <w:rPr>
          <w:rFonts w:eastAsia="Malgun Gothic"/>
          <w:i/>
          <w:iCs/>
          <w:sz w:val="22"/>
          <w:szCs w:val="22"/>
          <w:lang w:eastAsia="en-US"/>
        </w:rPr>
      </w:pPr>
      <w:r w:rsidRPr="00945708">
        <w:rPr>
          <w:rFonts w:eastAsia="Malgun Gothic"/>
          <w:b/>
          <w:bCs/>
          <w:i/>
          <w:iCs/>
          <w:sz w:val="22"/>
          <w:szCs w:val="22"/>
          <w:lang w:eastAsia="en-US"/>
        </w:rPr>
        <w:t>Observation 3</w:t>
      </w:r>
      <w:r w:rsidRPr="00945708">
        <w:rPr>
          <w:rFonts w:eastAsia="Malgun Gothic"/>
          <w:i/>
          <w:iCs/>
          <w:sz w:val="22"/>
          <w:szCs w:val="22"/>
          <w:lang w:eastAsia="en-US"/>
        </w:rPr>
        <w:t>: A smaller granularity for the Koffset based on a larger SCS than 15 kHz seems not necessary.</w:t>
      </w:r>
    </w:p>
    <w:p w14:paraId="0681A2A6" w14:textId="3D057C45" w:rsidR="00945708" w:rsidRPr="00945708" w:rsidRDefault="00945708" w:rsidP="007D245A">
      <w:pPr>
        <w:spacing w:after="120"/>
        <w:jc w:val="both"/>
        <w:rPr>
          <w:rFonts w:eastAsia="Malgun Gothic"/>
          <w:i/>
          <w:iCs/>
          <w:sz w:val="22"/>
          <w:szCs w:val="22"/>
          <w:lang w:eastAsia="en-US"/>
        </w:rPr>
      </w:pPr>
      <w:r w:rsidRPr="00945708">
        <w:rPr>
          <w:rFonts w:eastAsia="Malgun Gothic"/>
          <w:b/>
          <w:bCs/>
          <w:i/>
          <w:iCs/>
          <w:sz w:val="22"/>
          <w:szCs w:val="22"/>
          <w:lang w:eastAsia="en-US"/>
        </w:rPr>
        <w:t>Proposal 1</w:t>
      </w:r>
      <w:r w:rsidRPr="00945708">
        <w:rPr>
          <w:rFonts w:eastAsia="Malgun Gothic"/>
          <w:i/>
          <w:iCs/>
          <w:sz w:val="22"/>
          <w:szCs w:val="22"/>
          <w:lang w:eastAsia="en-US"/>
        </w:rPr>
        <w:t>: Alt 1: Keep the reference subcarrier spacing as for Rel-17 (meaning that K_offset and K_mac are defined with ms granularity).</w:t>
      </w:r>
    </w:p>
    <w:p w14:paraId="0BA52098" w14:textId="58E02D0D" w:rsidR="00A956C0" w:rsidRDefault="00A956C0" w:rsidP="007D245A">
      <w:pPr>
        <w:spacing w:after="120"/>
        <w:jc w:val="both"/>
        <w:rPr>
          <w:rFonts w:eastAsia="Malgun Gothic"/>
          <w:sz w:val="22"/>
          <w:szCs w:val="22"/>
          <w:lang w:val="en-US" w:eastAsia="en-US"/>
        </w:rPr>
      </w:pPr>
    </w:p>
    <w:p w14:paraId="2B2D30A7" w14:textId="7F3A4AAC" w:rsidR="00A956C0" w:rsidRPr="004C5508" w:rsidRDefault="004C5508" w:rsidP="004C550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5 </w:t>
      </w:r>
      <w:r w:rsidRPr="004C5508">
        <w:rPr>
          <w:rFonts w:ascii="Times New Roman" w:eastAsia="Batang" w:hAnsi="Times New Roman" w:cs="Times New Roman"/>
          <w:bCs w:val="0"/>
          <w:lang w:val="en-US" w:eastAsia="ko-KR"/>
        </w:rPr>
        <w:t>Common TA related aspects</w:t>
      </w:r>
    </w:p>
    <w:p w14:paraId="1073327B" w14:textId="2BD858CD" w:rsidR="004C5508" w:rsidRDefault="004C5508" w:rsidP="007D245A">
      <w:pPr>
        <w:spacing w:after="120"/>
        <w:jc w:val="both"/>
        <w:rPr>
          <w:rFonts w:eastAsia="Malgun Gothic"/>
          <w:sz w:val="22"/>
          <w:szCs w:val="22"/>
          <w:lang w:val="en-US" w:eastAsia="en-US"/>
        </w:rPr>
      </w:pPr>
      <w:r w:rsidRPr="004C5508">
        <w:rPr>
          <w:rFonts w:eastAsia="Malgun Gothic"/>
          <w:sz w:val="22"/>
          <w:szCs w:val="22"/>
          <w:lang w:val="en-US" w:eastAsia="en-US"/>
        </w:rPr>
        <w:t xml:space="preserve">The issue was discussed in Topic </w:t>
      </w:r>
      <w:r>
        <w:rPr>
          <w:rFonts w:eastAsia="Malgun Gothic"/>
          <w:sz w:val="22"/>
          <w:szCs w:val="22"/>
          <w:lang w:val="en-US" w:eastAsia="en-US"/>
        </w:rPr>
        <w:t>2</w:t>
      </w:r>
      <w:r w:rsidRPr="004C5508">
        <w:rPr>
          <w:rFonts w:eastAsia="Malgun Gothic"/>
          <w:sz w:val="22"/>
          <w:szCs w:val="22"/>
          <w:lang w:val="en-US" w:eastAsia="en-US"/>
        </w:rPr>
        <w:t xml:space="preserve"> in [4].</w:t>
      </w:r>
      <w:r>
        <w:rPr>
          <w:rFonts w:eastAsia="Malgun Gothic"/>
          <w:sz w:val="22"/>
          <w:szCs w:val="22"/>
          <w:lang w:val="en-US" w:eastAsia="en-US"/>
        </w:rPr>
        <w:t xml:space="preserve"> =15 kHz and SCS=30 kHz. The transmit timing error requirements for SCS=60 kHz or SCS=120 kHz are likely to in the order of the tightest requirements of 24.Ts assuming SCS=30 kHz for SSB signal and SCS = 30 kHz of UL signal. This corresponds to a transmit timing error in the order of 0.77 us. The symbol length for SCS = 60 kHz excluding the CP is 16.67 us, which allows a CP of around 1.18 us. This would allow a delay spread in the order of 0.41 us, which is very small margin and would likely require an extended CP. For SCS=120 kHz, it seems not practical case as using an extended CP will be very inneficient.  </w:t>
      </w:r>
    </w:p>
    <w:p w14:paraId="0B8F4727" w14:textId="010F9B43" w:rsidR="004C5508" w:rsidRDefault="004C5508" w:rsidP="007D245A">
      <w:pPr>
        <w:spacing w:after="120"/>
        <w:jc w:val="both"/>
        <w:rPr>
          <w:rFonts w:eastAsia="Malgun Gothic"/>
          <w:sz w:val="22"/>
          <w:szCs w:val="22"/>
          <w:lang w:val="en-US" w:eastAsia="en-US"/>
        </w:rPr>
      </w:pPr>
      <w:r>
        <w:rPr>
          <w:rFonts w:eastAsia="Malgun Gothic"/>
          <w:sz w:val="22"/>
          <w:szCs w:val="22"/>
          <w:lang w:val="en-US" w:eastAsia="en-US"/>
        </w:rPr>
        <w:t>It was shown during Rel-17 NR NTN WI and in [4] that using the 3</w:t>
      </w:r>
      <w:r w:rsidRPr="004C5508">
        <w:rPr>
          <w:rFonts w:eastAsia="Malgun Gothic"/>
          <w:sz w:val="22"/>
          <w:szCs w:val="22"/>
          <w:vertAlign w:val="superscript"/>
          <w:lang w:val="en-US" w:eastAsia="en-US"/>
        </w:rPr>
        <w:t>rd</w:t>
      </w:r>
      <w:r>
        <w:rPr>
          <w:rFonts w:eastAsia="Malgun Gothic"/>
          <w:sz w:val="22"/>
          <w:szCs w:val="22"/>
          <w:lang w:val="en-US" w:eastAsia="en-US"/>
        </w:rPr>
        <w:t xml:space="preserve"> order common derivative will reduce the common TA contribution to the transmit timing error to be well within a sample Ts. This will save at least 2 Ts assuming typical common TA update every 30 seconds to save signalling overhead. Since Multi-user detection is used at the gNB receiver and commn TA error can be of opposite sign, this would save 2*2 T = 4 Ts = 0.12 us. This is quite significant. Hence we make the following observation and proposal. </w:t>
      </w:r>
    </w:p>
    <w:p w14:paraId="3B69D605" w14:textId="19C39014" w:rsidR="004C5508" w:rsidRDefault="004C5508" w:rsidP="007D245A">
      <w:pPr>
        <w:spacing w:after="120"/>
        <w:jc w:val="both"/>
        <w:rPr>
          <w:rFonts w:eastAsia="Malgun Gothic"/>
          <w:sz w:val="22"/>
          <w:szCs w:val="22"/>
          <w:lang w:val="en-US" w:eastAsia="en-US"/>
        </w:rPr>
      </w:pPr>
    </w:p>
    <w:p w14:paraId="28857FF7" w14:textId="1A6AE3C9" w:rsidR="004C5508" w:rsidRPr="004C5508" w:rsidRDefault="004C5508" w:rsidP="007D245A">
      <w:pPr>
        <w:spacing w:after="120"/>
        <w:jc w:val="both"/>
        <w:rPr>
          <w:rFonts w:eastAsia="Malgun Gothic"/>
          <w:i/>
          <w:iCs/>
          <w:sz w:val="22"/>
          <w:szCs w:val="22"/>
          <w:lang w:val="en-US" w:eastAsia="en-US"/>
        </w:rPr>
      </w:pPr>
      <w:r w:rsidRPr="004C5508">
        <w:rPr>
          <w:rFonts w:eastAsia="Malgun Gothic"/>
          <w:b/>
          <w:bCs/>
          <w:i/>
          <w:iCs/>
          <w:sz w:val="22"/>
          <w:szCs w:val="22"/>
          <w:lang w:val="en-US" w:eastAsia="en-US"/>
        </w:rPr>
        <w:t>Observation 4:</w:t>
      </w:r>
      <w:r w:rsidRPr="004C5508">
        <w:rPr>
          <w:rFonts w:eastAsia="Malgun Gothic"/>
          <w:i/>
          <w:iCs/>
          <w:sz w:val="22"/>
          <w:szCs w:val="22"/>
          <w:lang w:val="en-US" w:eastAsia="en-US"/>
        </w:rPr>
        <w:t xml:space="preserve"> Extended CP for 60 kHz SCS is a necessary solution to the timing error challenges for NR over NTN in FR2-NTN bands</w:t>
      </w:r>
    </w:p>
    <w:p w14:paraId="76F59026" w14:textId="04C6E3A5" w:rsidR="004C5508" w:rsidRDefault="004C5508" w:rsidP="007D245A">
      <w:pPr>
        <w:spacing w:after="120"/>
        <w:jc w:val="both"/>
        <w:rPr>
          <w:rFonts w:eastAsia="Malgun Gothic"/>
          <w:sz w:val="22"/>
          <w:szCs w:val="22"/>
          <w:lang w:val="en-US" w:eastAsia="en-US"/>
        </w:rPr>
      </w:pPr>
      <w:r w:rsidRPr="004C5508">
        <w:rPr>
          <w:rFonts w:eastAsia="Malgun Gothic"/>
          <w:b/>
          <w:bCs/>
          <w:i/>
          <w:iCs/>
          <w:sz w:val="22"/>
          <w:szCs w:val="22"/>
          <w:lang w:val="en-US" w:eastAsia="en-US"/>
        </w:rPr>
        <w:t xml:space="preserve">Observation </w:t>
      </w:r>
      <w:r>
        <w:rPr>
          <w:rFonts w:eastAsia="Malgun Gothic"/>
          <w:b/>
          <w:bCs/>
          <w:i/>
          <w:iCs/>
          <w:sz w:val="22"/>
          <w:szCs w:val="22"/>
          <w:lang w:val="en-US" w:eastAsia="en-US"/>
        </w:rPr>
        <w:t>5</w:t>
      </w:r>
      <w:r w:rsidRPr="004C5508">
        <w:rPr>
          <w:rFonts w:eastAsia="Malgun Gothic"/>
          <w:b/>
          <w:bCs/>
          <w:i/>
          <w:iCs/>
          <w:sz w:val="22"/>
          <w:szCs w:val="22"/>
          <w:lang w:val="en-US" w:eastAsia="en-US"/>
        </w:rPr>
        <w:t>:</w:t>
      </w:r>
      <w:r w:rsidRPr="004C5508">
        <w:rPr>
          <w:rFonts w:eastAsia="Malgun Gothic"/>
          <w:i/>
          <w:iCs/>
          <w:sz w:val="22"/>
          <w:szCs w:val="22"/>
          <w:lang w:val="en-US" w:eastAsia="en-US"/>
        </w:rPr>
        <w:t xml:space="preserve"> Using 3rd order derivative can improve timing error by 4 Ts assuming typical common TA validation duration to save signalling overhead</w:t>
      </w:r>
      <w:r>
        <w:rPr>
          <w:rFonts w:eastAsia="Malgun Gothic"/>
          <w:sz w:val="22"/>
          <w:szCs w:val="22"/>
          <w:lang w:val="en-US" w:eastAsia="en-US"/>
        </w:rPr>
        <w:t>.</w:t>
      </w:r>
    </w:p>
    <w:p w14:paraId="72C98E9D" w14:textId="5D45B1CD" w:rsidR="004C5508" w:rsidRPr="004C5508" w:rsidRDefault="004C5508" w:rsidP="004C5508">
      <w:pPr>
        <w:pStyle w:val="Prop1"/>
        <w:rPr>
          <w:b w:val="0"/>
          <w:bCs/>
          <w:i/>
          <w:iCs/>
          <w:sz w:val="22"/>
          <w:szCs w:val="22"/>
          <w:highlight w:val="darkYellow"/>
        </w:rPr>
      </w:pPr>
      <w:r w:rsidRPr="004C5508">
        <w:rPr>
          <w:rFonts w:eastAsia="Malgun Gothic"/>
          <w:i/>
          <w:iCs/>
          <w:sz w:val="22"/>
          <w:szCs w:val="22"/>
          <w:lang w:eastAsia="en-US"/>
        </w:rPr>
        <w:t xml:space="preserve">Proposal </w:t>
      </w:r>
      <w:r>
        <w:rPr>
          <w:rFonts w:eastAsia="Malgun Gothic"/>
          <w:i/>
          <w:iCs/>
          <w:sz w:val="22"/>
          <w:szCs w:val="22"/>
          <w:lang w:eastAsia="en-US"/>
        </w:rPr>
        <w:t>2</w:t>
      </w:r>
      <w:r w:rsidRPr="004C5508">
        <w:rPr>
          <w:rFonts w:eastAsia="Malgun Gothic"/>
          <w:i/>
          <w:iCs/>
          <w:sz w:val="22"/>
          <w:szCs w:val="22"/>
          <w:lang w:eastAsia="en-US"/>
        </w:rPr>
        <w:t>:</w:t>
      </w:r>
      <w:r w:rsidRPr="004C5508">
        <w:rPr>
          <w:rFonts w:eastAsia="Malgun Gothic"/>
          <w:b w:val="0"/>
          <w:bCs/>
          <w:i/>
          <w:iCs/>
          <w:sz w:val="22"/>
          <w:szCs w:val="22"/>
          <w:lang w:eastAsia="en-US"/>
        </w:rPr>
        <w:t xml:space="preserve"> </w:t>
      </w:r>
      <w:r w:rsidRPr="004C5508">
        <w:rPr>
          <w:b w:val="0"/>
          <w:bCs/>
          <w:i/>
          <w:iCs/>
          <w:sz w:val="22"/>
          <w:szCs w:val="22"/>
        </w:rPr>
        <w:t xml:space="preserve">Higher-layer parameter </w:t>
      </w:r>
      <w:r w:rsidRPr="004C5508">
        <w:rPr>
          <w:rFonts w:eastAsia="Times New Roman"/>
          <w:b w:val="0"/>
          <w:bCs/>
          <w:i/>
          <w:iCs/>
          <w:color w:val="000000"/>
          <w:sz w:val="22"/>
          <w:szCs w:val="22"/>
          <w:lang w:eastAsia="fr-FR"/>
        </w:rPr>
        <w:t>TACommonThirdOrder</w:t>
      </w:r>
      <w:r w:rsidRPr="004C5508">
        <w:rPr>
          <w:b w:val="0"/>
          <w:bCs/>
          <w:i/>
          <w:iCs/>
          <w:sz w:val="22"/>
          <w:szCs w:val="22"/>
        </w:rPr>
        <w:t xml:space="preserve"> can be indicated with the following range, granularity and bits allocation</w:t>
      </w:r>
      <w:r>
        <w:rPr>
          <w:b w:val="0"/>
          <w:bCs/>
          <w:i/>
          <w:iCs/>
          <w:sz w:val="22"/>
          <w:szCs w:val="22"/>
        </w:rPr>
        <w:t xml:space="preserve"> for FR2 NTN in Rel-18 NR NTN</w:t>
      </w:r>
      <w:r w:rsidRPr="004C5508">
        <w:rPr>
          <w:b w:val="0"/>
          <w:bCs/>
          <w:i/>
          <w:iCs/>
          <w:sz w:val="22"/>
          <w:szCs w:val="22"/>
        </w:rPr>
        <w:t>:</w:t>
      </w:r>
    </w:p>
    <w:p w14:paraId="3971184B" w14:textId="77777777" w:rsidR="004C5508" w:rsidRPr="00CC3DDA" w:rsidRDefault="004C5508" w:rsidP="004C5508">
      <w:pPr>
        <w:pStyle w:val="Prop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74"/>
        <w:gridCol w:w="3248"/>
        <w:gridCol w:w="1982"/>
        <w:gridCol w:w="1546"/>
      </w:tblGrid>
      <w:tr w:rsidR="004C5508" w:rsidRPr="005B29FA" w14:paraId="55466A05" w14:textId="77777777" w:rsidTr="003F395F">
        <w:trPr>
          <w:trHeight w:val="498"/>
          <w:tblHeader/>
        </w:trPr>
        <w:tc>
          <w:tcPr>
            <w:tcW w:w="1376" w:type="pct"/>
            <w:shd w:val="clear" w:color="000000" w:fill="00B0F0"/>
            <w:vAlign w:val="center"/>
            <w:hideMark/>
          </w:tcPr>
          <w:p w14:paraId="42BDC771" w14:textId="77777777" w:rsidR="004C5508" w:rsidRPr="005B29FA" w:rsidRDefault="004C5508" w:rsidP="003F395F">
            <w:pPr>
              <w:pStyle w:val="Prop1"/>
              <w:rPr>
                <w:color w:val="FFFFFF"/>
                <w:lang w:eastAsia="fr-FR"/>
              </w:rPr>
            </w:pPr>
            <w:r w:rsidRPr="005B29FA">
              <w:rPr>
                <w:color w:val="FFFFFF"/>
                <w:lang w:eastAsia="fr-FR"/>
              </w:rPr>
              <w:lastRenderedPageBreak/>
              <w:t xml:space="preserve">Parameter name </w:t>
            </w:r>
          </w:p>
        </w:tc>
        <w:tc>
          <w:tcPr>
            <w:tcW w:w="1737" w:type="pct"/>
            <w:shd w:val="clear" w:color="000000" w:fill="00B0F0"/>
            <w:vAlign w:val="center"/>
            <w:hideMark/>
          </w:tcPr>
          <w:p w14:paraId="05991DDC" w14:textId="77777777" w:rsidR="004C5508" w:rsidRPr="005B29FA" w:rsidRDefault="004C5508" w:rsidP="003F395F">
            <w:pPr>
              <w:pStyle w:val="Prop1"/>
              <w:rPr>
                <w:color w:val="FFFFFF"/>
                <w:lang w:val="fr-FR" w:eastAsia="fr-FR"/>
              </w:rPr>
            </w:pPr>
            <w:r w:rsidRPr="005B29FA">
              <w:rPr>
                <w:color w:val="FFFFFF"/>
                <w:lang w:val="fr-FR" w:eastAsia="fr-FR"/>
              </w:rPr>
              <w:t>Value range</w:t>
            </w:r>
          </w:p>
        </w:tc>
        <w:tc>
          <w:tcPr>
            <w:tcW w:w="1060" w:type="pct"/>
            <w:shd w:val="clear" w:color="000000" w:fill="00B0F0"/>
            <w:vAlign w:val="center"/>
          </w:tcPr>
          <w:p w14:paraId="5E1B324C" w14:textId="77777777" w:rsidR="004C5508" w:rsidRPr="005B29FA" w:rsidRDefault="004C5508" w:rsidP="003F395F">
            <w:pPr>
              <w:pStyle w:val="Prop1"/>
              <w:rPr>
                <w:color w:val="FFFFFF"/>
                <w:lang w:val="fr-FR" w:eastAsia="fr-FR"/>
              </w:rPr>
            </w:pPr>
            <w:r w:rsidRPr="005B29FA">
              <w:rPr>
                <w:color w:val="FFFFFF"/>
                <w:lang w:val="fr-FR" w:eastAsia="fr-FR"/>
              </w:rPr>
              <w:t>Granularity</w:t>
            </w:r>
          </w:p>
        </w:tc>
        <w:tc>
          <w:tcPr>
            <w:tcW w:w="827" w:type="pct"/>
            <w:shd w:val="clear" w:color="000000" w:fill="00B0F0"/>
            <w:vAlign w:val="center"/>
          </w:tcPr>
          <w:p w14:paraId="54658259" w14:textId="77777777" w:rsidR="004C5508" w:rsidRPr="005B29FA" w:rsidRDefault="004C5508" w:rsidP="003F395F">
            <w:pPr>
              <w:pStyle w:val="Prop1"/>
              <w:rPr>
                <w:color w:val="FFFFFF"/>
                <w:lang w:val="fr-FR" w:eastAsia="fr-FR"/>
              </w:rPr>
            </w:pPr>
            <w:r w:rsidRPr="005B29FA">
              <w:rPr>
                <w:color w:val="FFFFFF"/>
                <w:lang w:val="fr-FR" w:eastAsia="fr-FR"/>
              </w:rPr>
              <w:t>Bits allocation</w:t>
            </w:r>
          </w:p>
        </w:tc>
      </w:tr>
      <w:tr w:rsidR="004C5508" w:rsidRPr="005B29FA" w14:paraId="55367A04" w14:textId="77777777" w:rsidTr="003F395F">
        <w:trPr>
          <w:trHeight w:val="47"/>
        </w:trPr>
        <w:tc>
          <w:tcPr>
            <w:tcW w:w="1376" w:type="pct"/>
            <w:shd w:val="clear" w:color="auto" w:fill="auto"/>
            <w:noWrap/>
            <w:vAlign w:val="center"/>
          </w:tcPr>
          <w:p w14:paraId="095E2BEB" w14:textId="77777777" w:rsidR="004C5508" w:rsidRPr="00CC3DDA" w:rsidRDefault="004C5508" w:rsidP="003F395F">
            <w:pPr>
              <w:pStyle w:val="Prop1"/>
              <w:rPr>
                <w:color w:val="000000"/>
                <w:lang w:eastAsia="fr-FR"/>
              </w:rPr>
            </w:pPr>
            <w:r w:rsidRPr="00CC3DDA">
              <w:rPr>
                <w:lang w:eastAsia="fr-FR"/>
              </w:rPr>
              <w:t>TACommonThirdOrder</w:t>
            </w:r>
          </w:p>
        </w:tc>
        <w:tc>
          <w:tcPr>
            <w:tcW w:w="1737" w:type="pct"/>
            <w:shd w:val="clear" w:color="auto" w:fill="auto"/>
            <w:noWrap/>
            <w:vAlign w:val="center"/>
          </w:tcPr>
          <w:p w14:paraId="7CC791A3" w14:textId="77777777" w:rsidR="004C5508" w:rsidRPr="00CC3DDA" w:rsidRDefault="004C5508" w:rsidP="003F395F">
            <w:pPr>
              <w:pStyle w:val="Prop1"/>
            </w:pPr>
            <w:r w:rsidRPr="00CC3DDA">
              <w:t>-4912…+4912</w:t>
            </w:r>
          </w:p>
          <w:p w14:paraId="0F2B0E0F" w14:textId="77777777" w:rsidR="004C5508" w:rsidRPr="00CC3DDA" w:rsidRDefault="004C5508" w:rsidP="003F395F">
            <w:pPr>
              <w:pStyle w:val="Prop1"/>
            </w:pPr>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w:t>
            </w:r>
          </w:p>
        </w:tc>
        <w:tc>
          <w:tcPr>
            <w:tcW w:w="1060" w:type="pct"/>
            <w:vAlign w:val="center"/>
          </w:tcPr>
          <w:p w14:paraId="01C70209" w14:textId="77777777" w:rsidR="004C5508" w:rsidRPr="00CC3DDA" w:rsidRDefault="004C5508" w:rsidP="003F395F">
            <w:pPr>
              <w:pStyle w:val="Prop1"/>
            </w:pPr>
            <m:oMathPara>
              <m:oMathParaPr>
                <m:jc m:val="left"/>
              </m:oMathParaPr>
              <m:oMath>
                <m:r>
                  <m:rPr>
                    <m:sty m:val="b"/>
                  </m:rPr>
                  <w:rPr>
                    <w:rFonts w:ascii="Cambria Math" w:hAnsi="Cambria Math"/>
                    <w:color w:val="000000"/>
                  </w:rPr>
                  <m:t>0.3×</m:t>
                </m:r>
                <m:sSup>
                  <m:sSupPr>
                    <m:ctrlPr>
                      <w:rPr>
                        <w:rFonts w:ascii="Cambria Math" w:hAnsi="Cambria Math"/>
                        <w:color w:val="000000"/>
                      </w:rPr>
                    </m:ctrlPr>
                  </m:sSupPr>
                  <m:e>
                    <m:r>
                      <m:rPr>
                        <m:sty m:val="b"/>
                      </m:rPr>
                      <w:rPr>
                        <w:rFonts w:ascii="Cambria Math" w:hAnsi="Cambria Math"/>
                        <w:color w:val="000000"/>
                      </w:rPr>
                      <m:t>10</m:t>
                    </m:r>
                  </m:e>
                  <m:sup>
                    <m:r>
                      <m:rPr>
                        <m:sty m:val="b"/>
                      </m:rPr>
                      <w:rPr>
                        <w:rFonts w:ascii="Cambria Math" w:hAnsi="Cambria Math"/>
                        <w:color w:val="000000"/>
                      </w:rPr>
                      <m:t>-5</m:t>
                    </m:r>
                  </m:sup>
                </m:sSup>
                <m:f>
                  <m:fPr>
                    <m:type m:val="lin"/>
                    <m:ctrlPr>
                      <w:rPr>
                        <w:rFonts w:ascii="Cambria Math" w:hAnsi="Cambria Math"/>
                        <w:color w:val="000000"/>
                      </w:rPr>
                    </m:ctrlPr>
                  </m:fPr>
                  <m:num>
                    <m:r>
                      <m:rPr>
                        <m:sty m:val="b"/>
                      </m:rPr>
                      <w:rPr>
                        <w:rFonts w:ascii="Cambria Math" w:hAnsi="Cambria Math"/>
                        <w:color w:val="000000"/>
                      </w:rPr>
                      <m:t>μs</m:t>
                    </m:r>
                  </m:num>
                  <m:den>
                    <m:sSup>
                      <m:sSupPr>
                        <m:ctrlPr>
                          <w:rPr>
                            <w:rFonts w:ascii="Cambria Math" w:hAnsi="Cambria Math"/>
                            <w:color w:val="000000"/>
                          </w:rPr>
                        </m:ctrlPr>
                      </m:sSupPr>
                      <m:e>
                        <m:r>
                          <m:rPr>
                            <m:sty m:val="b"/>
                          </m:rPr>
                          <w:rPr>
                            <w:rFonts w:ascii="Cambria Math" w:hAnsi="Cambria Math"/>
                            <w:color w:val="000000"/>
                          </w:rPr>
                          <m:t>s</m:t>
                        </m:r>
                      </m:e>
                      <m:sup>
                        <m:r>
                          <m:rPr>
                            <m:sty m:val="bi"/>
                          </m:rPr>
                          <w:rPr>
                            <w:rFonts w:ascii="Cambria Math" w:hAnsi="Cambria Math"/>
                            <w:color w:val="000000"/>
                          </w:rPr>
                          <m:t>3</m:t>
                        </m:r>
                      </m:sup>
                    </m:sSup>
                  </m:den>
                </m:f>
              </m:oMath>
            </m:oMathPara>
          </w:p>
        </w:tc>
        <w:tc>
          <w:tcPr>
            <w:tcW w:w="827" w:type="pct"/>
            <w:vAlign w:val="center"/>
          </w:tcPr>
          <w:p w14:paraId="4AA5C9AB" w14:textId="77777777" w:rsidR="004C5508" w:rsidRPr="00CC3DDA" w:rsidRDefault="004C5508" w:rsidP="003F395F">
            <w:pPr>
              <w:pStyle w:val="Prop1"/>
              <w:rPr>
                <w:color w:val="000000"/>
                <w:lang w:eastAsia="fr-FR"/>
              </w:rPr>
            </w:pPr>
            <w:r w:rsidRPr="00CC3DDA">
              <w:t>14 bits</w:t>
            </w:r>
          </w:p>
        </w:tc>
      </w:tr>
      <w:tr w:rsidR="004C5508" w:rsidRPr="005B29FA" w14:paraId="162F058A" w14:textId="77777777" w:rsidTr="003F395F">
        <w:trPr>
          <w:trHeight w:val="47"/>
        </w:trPr>
        <w:tc>
          <w:tcPr>
            <w:tcW w:w="5000" w:type="pct"/>
            <w:gridSpan w:val="4"/>
            <w:shd w:val="clear" w:color="auto" w:fill="auto"/>
            <w:noWrap/>
            <w:vAlign w:val="center"/>
          </w:tcPr>
          <w:p w14:paraId="25F3D494" w14:textId="77777777" w:rsidR="004C5508" w:rsidRPr="00CC3DDA" w:rsidRDefault="004C5508" w:rsidP="003F395F">
            <w:pPr>
              <w:pStyle w:val="Prop1"/>
            </w:pPr>
            <w:r w:rsidRPr="005B29FA">
              <w:t xml:space="preserve">Value range </w:t>
            </w:r>
            <w:r>
              <w:t>is</w:t>
            </w:r>
            <w:r w:rsidRPr="005B29FA">
              <w:t xml:space="preserve"> given in unit of corresponding granularity</w:t>
            </w:r>
          </w:p>
        </w:tc>
      </w:tr>
    </w:tbl>
    <w:p w14:paraId="3793ADCE" w14:textId="24F43575" w:rsidR="004C5508" w:rsidRPr="004C5508" w:rsidRDefault="004C5508" w:rsidP="007D245A">
      <w:pPr>
        <w:spacing w:after="120"/>
        <w:jc w:val="both"/>
        <w:rPr>
          <w:rFonts w:eastAsia="Malgun Gothic"/>
          <w:sz w:val="22"/>
          <w:szCs w:val="22"/>
          <w:lang w:eastAsia="en-US"/>
        </w:rPr>
      </w:pPr>
    </w:p>
    <w:p w14:paraId="20FA10AB" w14:textId="3AE69448" w:rsidR="005F2BBB" w:rsidRPr="007F6704" w:rsidRDefault="00631870" w:rsidP="005F2BBB">
      <w:pPr>
        <w:pStyle w:val="Heading1"/>
        <w:jc w:val="both"/>
        <w:rPr>
          <w:rFonts w:ascii="Times New Roman" w:hAnsi="Times New Roman"/>
          <w:b/>
          <w:sz w:val="22"/>
          <w:szCs w:val="22"/>
        </w:rPr>
      </w:pPr>
      <w:r>
        <w:rPr>
          <w:rFonts w:ascii="Times New Roman" w:hAnsi="Times New Roman"/>
          <w:b/>
          <w:sz w:val="22"/>
          <w:szCs w:val="22"/>
        </w:rPr>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B4F498F"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w:t>
      </w:r>
      <w:r w:rsidR="00A0300F">
        <w:rPr>
          <w:sz w:val="22"/>
          <w:szCs w:val="22"/>
        </w:rPr>
        <w:t xml:space="preserve">observations and </w:t>
      </w:r>
      <w:r w:rsidRPr="007F6704">
        <w:rPr>
          <w:sz w:val="22"/>
          <w:szCs w:val="22"/>
        </w:rPr>
        <w:t xml:space="preserve">proposals </w:t>
      </w:r>
      <w:r>
        <w:rPr>
          <w:sz w:val="22"/>
          <w:szCs w:val="22"/>
        </w:rPr>
        <w:t>were made</w:t>
      </w:r>
      <w:r w:rsidR="00D5367F">
        <w:rPr>
          <w:sz w:val="22"/>
          <w:szCs w:val="22"/>
        </w:rPr>
        <w:t>:</w:t>
      </w:r>
    </w:p>
    <w:p w14:paraId="41BB8E2F" w14:textId="6F477CA4" w:rsidR="00D5367F" w:rsidRDefault="00D5367F" w:rsidP="00EF492B">
      <w:pPr>
        <w:spacing w:after="120"/>
        <w:jc w:val="both"/>
        <w:rPr>
          <w:sz w:val="22"/>
          <w:szCs w:val="22"/>
        </w:rPr>
      </w:pPr>
    </w:p>
    <w:p w14:paraId="24857F90" w14:textId="72FF8AB3" w:rsidR="00DF38B0" w:rsidRPr="00DF38B0" w:rsidRDefault="00DF38B0" w:rsidP="00EF492B">
      <w:pPr>
        <w:spacing w:after="120"/>
        <w:jc w:val="both"/>
        <w:rPr>
          <w:sz w:val="22"/>
          <w:szCs w:val="22"/>
          <w:u w:val="single"/>
        </w:rPr>
      </w:pPr>
      <w:r w:rsidRPr="00DF38B0">
        <w:rPr>
          <w:sz w:val="22"/>
          <w:szCs w:val="22"/>
          <w:u w:val="single"/>
        </w:rPr>
        <w:t>MAC-CE application time in case of VSAT antenna for NR over NTN:</w:t>
      </w:r>
    </w:p>
    <w:p w14:paraId="7D587ADA" w14:textId="77777777" w:rsidR="00DF38B0" w:rsidRPr="00F41170" w:rsidRDefault="00DF38B0" w:rsidP="00DF38B0">
      <w:pPr>
        <w:spacing w:after="120"/>
        <w:jc w:val="both"/>
        <w:rPr>
          <w:rFonts w:eastAsia="Malgun Gothic"/>
          <w:i/>
          <w:iCs/>
          <w:sz w:val="22"/>
          <w:szCs w:val="22"/>
          <w:lang w:val="en-US" w:eastAsia="en-US"/>
        </w:rPr>
      </w:pPr>
      <w:r w:rsidRPr="00F41170">
        <w:rPr>
          <w:rFonts w:eastAsia="Malgun Gothic"/>
          <w:b/>
          <w:bCs/>
          <w:i/>
          <w:iCs/>
          <w:sz w:val="22"/>
          <w:szCs w:val="22"/>
          <w:lang w:val="en-US" w:eastAsia="en-US"/>
        </w:rPr>
        <w:t xml:space="preserve">Observation </w:t>
      </w:r>
      <w:r>
        <w:rPr>
          <w:rFonts w:eastAsia="Malgun Gothic"/>
          <w:b/>
          <w:bCs/>
          <w:i/>
          <w:iCs/>
          <w:sz w:val="22"/>
          <w:szCs w:val="22"/>
          <w:lang w:val="en-US" w:eastAsia="en-US"/>
        </w:rPr>
        <w:t>1</w:t>
      </w:r>
      <w:r w:rsidRPr="00F41170">
        <w:rPr>
          <w:rFonts w:eastAsia="Malgun Gothic"/>
          <w:b/>
          <w:bCs/>
          <w:i/>
          <w:iCs/>
          <w:sz w:val="22"/>
          <w:szCs w:val="22"/>
          <w:lang w:val="en-US" w:eastAsia="en-US"/>
        </w:rPr>
        <w:t>:</w:t>
      </w:r>
      <w:r w:rsidRPr="00F41170">
        <w:rPr>
          <w:rFonts w:eastAsia="Malgun Gothic"/>
          <w:i/>
          <w:iCs/>
          <w:sz w:val="22"/>
          <w:szCs w:val="22"/>
          <w:lang w:val="en-US" w:eastAsia="en-US"/>
        </w:rPr>
        <w:t xml:space="preserve"> Since there is </w:t>
      </w:r>
      <w:r>
        <w:rPr>
          <w:rFonts w:eastAsia="Malgun Gothic"/>
          <w:i/>
          <w:iCs/>
          <w:sz w:val="22"/>
          <w:szCs w:val="22"/>
          <w:lang w:val="en-US" w:eastAsia="en-US"/>
        </w:rPr>
        <w:t>a</w:t>
      </w:r>
      <w:r w:rsidRPr="00F41170">
        <w:rPr>
          <w:rFonts w:eastAsia="Malgun Gothic"/>
          <w:i/>
          <w:iCs/>
          <w:sz w:val="22"/>
          <w:szCs w:val="22"/>
          <w:lang w:val="en-US" w:eastAsia="en-US"/>
        </w:rPr>
        <w:t xml:space="preserve"> </w:t>
      </w:r>
      <w:r>
        <w:rPr>
          <w:rFonts w:eastAsia="Malgun Gothic"/>
          <w:i/>
          <w:iCs/>
          <w:sz w:val="22"/>
          <w:szCs w:val="22"/>
          <w:lang w:val="en-US" w:eastAsia="en-US"/>
        </w:rPr>
        <w:t xml:space="preserve">single SAN Tx beam per radio </w:t>
      </w:r>
      <w:r w:rsidRPr="00F41170">
        <w:rPr>
          <w:rFonts w:eastAsia="Malgun Gothic"/>
          <w:i/>
          <w:iCs/>
          <w:sz w:val="22"/>
          <w:szCs w:val="22"/>
          <w:lang w:val="en-US" w:eastAsia="en-US"/>
        </w:rPr>
        <w:t xml:space="preserve">cell, there is no discontinuity when the beam is switched within the serving satellite. </w:t>
      </w:r>
      <w:r w:rsidRPr="00DF38B0">
        <w:rPr>
          <w:rFonts w:eastAsia="Malgun Gothic"/>
          <w:i/>
          <w:iCs/>
          <w:sz w:val="22"/>
          <w:szCs w:val="22"/>
          <w:lang w:val="en-US" w:eastAsia="en-US"/>
        </w:rPr>
        <w:t>The UE VSAT Type 1 or Type 2 can be expected to continuously track the satellite direction.</w:t>
      </w:r>
    </w:p>
    <w:p w14:paraId="466DFA1A" w14:textId="77777777" w:rsidR="00DF38B0" w:rsidRPr="00DF38B0" w:rsidRDefault="00DF38B0" w:rsidP="00DF38B0">
      <w:pPr>
        <w:spacing w:after="120"/>
        <w:jc w:val="both"/>
        <w:rPr>
          <w:rFonts w:eastAsia="Malgun Gothic"/>
          <w:i/>
          <w:iCs/>
          <w:sz w:val="22"/>
          <w:szCs w:val="22"/>
          <w:lang w:val="en-US" w:eastAsia="en-US"/>
        </w:rPr>
      </w:pPr>
      <w:r w:rsidRPr="00DF38B0">
        <w:rPr>
          <w:rFonts w:eastAsia="Malgun Gothic"/>
          <w:b/>
          <w:bCs/>
          <w:i/>
          <w:iCs/>
          <w:sz w:val="22"/>
          <w:szCs w:val="22"/>
          <w:lang w:val="en-US" w:eastAsia="en-US"/>
        </w:rPr>
        <w:t xml:space="preserve">Observation </w:t>
      </w:r>
      <w:r>
        <w:rPr>
          <w:rFonts w:eastAsia="Malgun Gothic"/>
          <w:b/>
          <w:bCs/>
          <w:i/>
          <w:iCs/>
          <w:sz w:val="22"/>
          <w:szCs w:val="22"/>
          <w:lang w:val="en-US" w:eastAsia="en-US"/>
        </w:rPr>
        <w:t>2</w:t>
      </w:r>
      <w:r w:rsidRPr="00DF38B0">
        <w:rPr>
          <w:rFonts w:eastAsia="Malgun Gothic"/>
          <w:i/>
          <w:iCs/>
          <w:sz w:val="22"/>
          <w:szCs w:val="22"/>
          <w:lang w:val="en-US" w:eastAsia="en-US"/>
        </w:rPr>
        <w:t xml:space="preserve">: LS to RAN4 to clarify the use case for using MAC-CE to trigger mechanical beam steering and provide typical application delay range for a mechanical beam VSAT antenna to reach new direction for single SAN Tx beam per radio cell in DL is not necessary. </w:t>
      </w:r>
    </w:p>
    <w:p w14:paraId="323F04ED" w14:textId="7BCBC41F" w:rsidR="00631870" w:rsidRDefault="00631870" w:rsidP="00936250">
      <w:pPr>
        <w:spacing w:after="120"/>
        <w:jc w:val="both"/>
        <w:rPr>
          <w:rFonts w:eastAsiaTheme="minorEastAsia"/>
          <w:b/>
          <w:bCs/>
          <w:sz w:val="22"/>
          <w:szCs w:val="22"/>
          <w:lang w:val="en-US" w:eastAsia="zh-CN"/>
        </w:rPr>
      </w:pPr>
    </w:p>
    <w:p w14:paraId="532FCD53" w14:textId="237FE62B" w:rsidR="00945708" w:rsidRPr="00945708" w:rsidRDefault="00945708" w:rsidP="00936250">
      <w:pPr>
        <w:spacing w:after="120"/>
        <w:jc w:val="both"/>
        <w:rPr>
          <w:rFonts w:eastAsiaTheme="minorEastAsia"/>
          <w:sz w:val="22"/>
          <w:szCs w:val="22"/>
          <w:u w:val="single"/>
          <w:lang w:val="en-US" w:eastAsia="zh-CN"/>
        </w:rPr>
      </w:pPr>
      <w:r w:rsidRPr="00945708">
        <w:rPr>
          <w:rFonts w:eastAsiaTheme="minorEastAsia"/>
          <w:sz w:val="22"/>
          <w:szCs w:val="22"/>
          <w:u w:val="single"/>
          <w:lang w:val="en-US" w:eastAsia="zh-CN"/>
        </w:rPr>
        <w:t>Reference subcarrier spacing for FR2-NTN:</w:t>
      </w:r>
    </w:p>
    <w:p w14:paraId="083700AD" w14:textId="77777777" w:rsidR="00945708" w:rsidRPr="00945708" w:rsidRDefault="00945708" w:rsidP="00945708">
      <w:pPr>
        <w:spacing w:after="120"/>
        <w:jc w:val="both"/>
        <w:rPr>
          <w:rFonts w:eastAsia="Malgun Gothic"/>
          <w:i/>
          <w:iCs/>
          <w:sz w:val="22"/>
          <w:szCs w:val="22"/>
          <w:lang w:eastAsia="en-US"/>
        </w:rPr>
      </w:pPr>
      <w:r w:rsidRPr="00945708">
        <w:rPr>
          <w:rFonts w:eastAsia="Malgun Gothic"/>
          <w:b/>
          <w:bCs/>
          <w:i/>
          <w:iCs/>
          <w:sz w:val="22"/>
          <w:szCs w:val="22"/>
          <w:lang w:eastAsia="en-US"/>
        </w:rPr>
        <w:t>Observation 3</w:t>
      </w:r>
      <w:r w:rsidRPr="00945708">
        <w:rPr>
          <w:rFonts w:eastAsia="Malgun Gothic"/>
          <w:i/>
          <w:iCs/>
          <w:sz w:val="22"/>
          <w:szCs w:val="22"/>
          <w:lang w:eastAsia="en-US"/>
        </w:rPr>
        <w:t>: A smaller granularity for the Koffset based on a larger SCS than 15 kHz seems not necessary.</w:t>
      </w:r>
    </w:p>
    <w:p w14:paraId="4121A199" w14:textId="77777777" w:rsidR="00945708" w:rsidRPr="00945708" w:rsidRDefault="00945708" w:rsidP="00945708">
      <w:pPr>
        <w:spacing w:after="120"/>
        <w:jc w:val="both"/>
        <w:rPr>
          <w:rFonts w:eastAsia="Malgun Gothic"/>
          <w:i/>
          <w:iCs/>
          <w:sz w:val="22"/>
          <w:szCs w:val="22"/>
          <w:lang w:eastAsia="en-US"/>
        </w:rPr>
      </w:pPr>
      <w:r w:rsidRPr="00945708">
        <w:rPr>
          <w:rFonts w:eastAsia="Malgun Gothic"/>
          <w:b/>
          <w:bCs/>
          <w:i/>
          <w:iCs/>
          <w:sz w:val="22"/>
          <w:szCs w:val="22"/>
          <w:lang w:eastAsia="en-US"/>
        </w:rPr>
        <w:t>Proposal 1</w:t>
      </w:r>
      <w:r w:rsidRPr="00945708">
        <w:rPr>
          <w:rFonts w:eastAsia="Malgun Gothic"/>
          <w:i/>
          <w:iCs/>
          <w:sz w:val="22"/>
          <w:szCs w:val="22"/>
          <w:lang w:eastAsia="en-US"/>
        </w:rPr>
        <w:t>: Alt 1: Keep the reference subcarrier spacing as for Rel-17 (meaning that K_offset and K_mac are defined with ms granularity).</w:t>
      </w:r>
    </w:p>
    <w:p w14:paraId="7CADBC9C" w14:textId="40A82CCB" w:rsidR="00945708" w:rsidRDefault="00945708" w:rsidP="00936250">
      <w:pPr>
        <w:spacing w:after="120"/>
        <w:jc w:val="both"/>
        <w:rPr>
          <w:rFonts w:eastAsiaTheme="minorEastAsia"/>
          <w:sz w:val="22"/>
          <w:szCs w:val="22"/>
          <w:lang w:eastAsia="zh-CN"/>
        </w:rPr>
      </w:pPr>
    </w:p>
    <w:p w14:paraId="0ECB3706" w14:textId="710A8D7E" w:rsidR="004C5508" w:rsidRPr="004C5508" w:rsidRDefault="004C5508" w:rsidP="00936250">
      <w:pPr>
        <w:spacing w:after="120"/>
        <w:jc w:val="both"/>
        <w:rPr>
          <w:rFonts w:eastAsiaTheme="minorEastAsia"/>
          <w:sz w:val="22"/>
          <w:szCs w:val="22"/>
          <w:u w:val="single"/>
          <w:lang w:eastAsia="zh-CN"/>
        </w:rPr>
      </w:pPr>
      <w:r w:rsidRPr="004C5508">
        <w:rPr>
          <w:rFonts w:eastAsiaTheme="minorEastAsia"/>
          <w:sz w:val="22"/>
          <w:szCs w:val="22"/>
          <w:u w:val="single"/>
          <w:lang w:eastAsia="zh-CN"/>
        </w:rPr>
        <w:t>Common TA related aspects:</w:t>
      </w:r>
    </w:p>
    <w:p w14:paraId="35EF2BC2" w14:textId="77777777" w:rsidR="004C5508" w:rsidRPr="004C5508" w:rsidRDefault="004C5508" w:rsidP="004C5508">
      <w:pPr>
        <w:spacing w:after="120"/>
        <w:jc w:val="both"/>
        <w:rPr>
          <w:rFonts w:eastAsia="Malgun Gothic"/>
          <w:i/>
          <w:iCs/>
          <w:sz w:val="22"/>
          <w:szCs w:val="22"/>
          <w:lang w:val="en-US" w:eastAsia="en-US"/>
        </w:rPr>
      </w:pPr>
      <w:r w:rsidRPr="004C5508">
        <w:rPr>
          <w:rFonts w:eastAsia="Malgun Gothic"/>
          <w:b/>
          <w:bCs/>
          <w:i/>
          <w:iCs/>
          <w:sz w:val="22"/>
          <w:szCs w:val="22"/>
          <w:lang w:val="en-US" w:eastAsia="en-US"/>
        </w:rPr>
        <w:t>Observation 4:</w:t>
      </w:r>
      <w:r w:rsidRPr="004C5508">
        <w:rPr>
          <w:rFonts w:eastAsia="Malgun Gothic"/>
          <w:i/>
          <w:iCs/>
          <w:sz w:val="22"/>
          <w:szCs w:val="22"/>
          <w:lang w:val="en-US" w:eastAsia="en-US"/>
        </w:rPr>
        <w:t xml:space="preserve"> Extended CP for 60 kHz SCS is a necessary solution to the timing error challenges for NR over NTN in FR2-NTN bands</w:t>
      </w:r>
    </w:p>
    <w:p w14:paraId="336E89F8" w14:textId="77777777" w:rsidR="004C5508" w:rsidRDefault="004C5508" w:rsidP="004C5508">
      <w:pPr>
        <w:spacing w:after="120"/>
        <w:jc w:val="both"/>
        <w:rPr>
          <w:rFonts w:eastAsia="Malgun Gothic"/>
          <w:sz w:val="22"/>
          <w:szCs w:val="22"/>
          <w:lang w:val="en-US" w:eastAsia="en-US"/>
        </w:rPr>
      </w:pPr>
      <w:r w:rsidRPr="004C5508">
        <w:rPr>
          <w:rFonts w:eastAsia="Malgun Gothic"/>
          <w:b/>
          <w:bCs/>
          <w:i/>
          <w:iCs/>
          <w:sz w:val="22"/>
          <w:szCs w:val="22"/>
          <w:lang w:val="en-US" w:eastAsia="en-US"/>
        </w:rPr>
        <w:t xml:space="preserve">Observation </w:t>
      </w:r>
      <w:r>
        <w:rPr>
          <w:rFonts w:eastAsia="Malgun Gothic"/>
          <w:b/>
          <w:bCs/>
          <w:i/>
          <w:iCs/>
          <w:sz w:val="22"/>
          <w:szCs w:val="22"/>
          <w:lang w:val="en-US" w:eastAsia="en-US"/>
        </w:rPr>
        <w:t>5</w:t>
      </w:r>
      <w:r w:rsidRPr="004C5508">
        <w:rPr>
          <w:rFonts w:eastAsia="Malgun Gothic"/>
          <w:b/>
          <w:bCs/>
          <w:i/>
          <w:iCs/>
          <w:sz w:val="22"/>
          <w:szCs w:val="22"/>
          <w:lang w:val="en-US" w:eastAsia="en-US"/>
        </w:rPr>
        <w:t>:</w:t>
      </w:r>
      <w:r w:rsidRPr="004C5508">
        <w:rPr>
          <w:rFonts w:eastAsia="Malgun Gothic"/>
          <w:i/>
          <w:iCs/>
          <w:sz w:val="22"/>
          <w:szCs w:val="22"/>
          <w:lang w:val="en-US" w:eastAsia="en-US"/>
        </w:rPr>
        <w:t xml:space="preserve"> Using 3rd order derivative can improve timing error by 4 Ts assuming typical common TA validation duration to save signalling overhead</w:t>
      </w:r>
      <w:r>
        <w:rPr>
          <w:rFonts w:eastAsia="Malgun Gothic"/>
          <w:sz w:val="22"/>
          <w:szCs w:val="22"/>
          <w:lang w:val="en-US" w:eastAsia="en-US"/>
        </w:rPr>
        <w:t>.</w:t>
      </w:r>
    </w:p>
    <w:p w14:paraId="32AFB66D" w14:textId="77777777" w:rsidR="004C5508" w:rsidRPr="004C5508" w:rsidRDefault="004C5508" w:rsidP="004C5508">
      <w:pPr>
        <w:pStyle w:val="Prop1"/>
        <w:rPr>
          <w:b w:val="0"/>
          <w:bCs/>
          <w:i/>
          <w:iCs/>
          <w:sz w:val="22"/>
          <w:szCs w:val="22"/>
          <w:highlight w:val="darkYellow"/>
        </w:rPr>
      </w:pPr>
      <w:r w:rsidRPr="004C5508">
        <w:rPr>
          <w:rFonts w:eastAsia="Malgun Gothic"/>
          <w:i/>
          <w:iCs/>
          <w:sz w:val="22"/>
          <w:szCs w:val="22"/>
          <w:lang w:eastAsia="en-US"/>
        </w:rPr>
        <w:t xml:space="preserve">Proposal </w:t>
      </w:r>
      <w:r>
        <w:rPr>
          <w:rFonts w:eastAsia="Malgun Gothic"/>
          <w:i/>
          <w:iCs/>
          <w:sz w:val="22"/>
          <w:szCs w:val="22"/>
          <w:lang w:eastAsia="en-US"/>
        </w:rPr>
        <w:t>2</w:t>
      </w:r>
      <w:r w:rsidRPr="004C5508">
        <w:rPr>
          <w:rFonts w:eastAsia="Malgun Gothic"/>
          <w:i/>
          <w:iCs/>
          <w:sz w:val="22"/>
          <w:szCs w:val="22"/>
          <w:lang w:eastAsia="en-US"/>
        </w:rPr>
        <w:t>:</w:t>
      </w:r>
      <w:r w:rsidRPr="004C5508">
        <w:rPr>
          <w:rFonts w:eastAsia="Malgun Gothic"/>
          <w:b w:val="0"/>
          <w:bCs/>
          <w:i/>
          <w:iCs/>
          <w:sz w:val="22"/>
          <w:szCs w:val="22"/>
          <w:lang w:eastAsia="en-US"/>
        </w:rPr>
        <w:t xml:space="preserve"> </w:t>
      </w:r>
      <w:r w:rsidRPr="004C5508">
        <w:rPr>
          <w:b w:val="0"/>
          <w:bCs/>
          <w:i/>
          <w:iCs/>
          <w:sz w:val="22"/>
          <w:szCs w:val="22"/>
        </w:rPr>
        <w:t xml:space="preserve">Higher-layer parameter </w:t>
      </w:r>
      <w:r w:rsidRPr="004C5508">
        <w:rPr>
          <w:rFonts w:eastAsia="Times New Roman"/>
          <w:b w:val="0"/>
          <w:bCs/>
          <w:i/>
          <w:iCs/>
          <w:color w:val="000000"/>
          <w:sz w:val="22"/>
          <w:szCs w:val="22"/>
          <w:lang w:eastAsia="fr-FR"/>
        </w:rPr>
        <w:t>TACommonThirdOrder</w:t>
      </w:r>
      <w:r w:rsidRPr="004C5508">
        <w:rPr>
          <w:b w:val="0"/>
          <w:bCs/>
          <w:i/>
          <w:iCs/>
          <w:sz w:val="22"/>
          <w:szCs w:val="22"/>
        </w:rPr>
        <w:t xml:space="preserve"> can be indicated with the following range, granularity and bits allocation</w:t>
      </w:r>
      <w:r>
        <w:rPr>
          <w:b w:val="0"/>
          <w:bCs/>
          <w:i/>
          <w:iCs/>
          <w:sz w:val="22"/>
          <w:szCs w:val="22"/>
        </w:rPr>
        <w:t xml:space="preserve"> for FR2 NTN in Rel-18 NR NTN</w:t>
      </w:r>
      <w:r w:rsidRPr="004C5508">
        <w:rPr>
          <w:b w:val="0"/>
          <w:bCs/>
          <w:i/>
          <w:iCs/>
          <w:sz w:val="22"/>
          <w:szCs w:val="22"/>
        </w:rPr>
        <w:t>:</w:t>
      </w:r>
    </w:p>
    <w:p w14:paraId="19F64A71" w14:textId="77777777" w:rsidR="004C5508" w:rsidRPr="00CC3DDA" w:rsidRDefault="004C5508" w:rsidP="004C5508">
      <w:pPr>
        <w:pStyle w:val="Prop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74"/>
        <w:gridCol w:w="3248"/>
        <w:gridCol w:w="1982"/>
        <w:gridCol w:w="1546"/>
      </w:tblGrid>
      <w:tr w:rsidR="004C5508" w:rsidRPr="005B29FA" w14:paraId="09657170" w14:textId="77777777" w:rsidTr="003F395F">
        <w:trPr>
          <w:trHeight w:val="498"/>
          <w:tblHeader/>
        </w:trPr>
        <w:tc>
          <w:tcPr>
            <w:tcW w:w="1376" w:type="pct"/>
            <w:shd w:val="clear" w:color="000000" w:fill="00B0F0"/>
            <w:vAlign w:val="center"/>
            <w:hideMark/>
          </w:tcPr>
          <w:p w14:paraId="18929889" w14:textId="77777777" w:rsidR="004C5508" w:rsidRPr="005B29FA" w:rsidRDefault="004C5508" w:rsidP="003F395F">
            <w:pPr>
              <w:pStyle w:val="Prop1"/>
              <w:rPr>
                <w:color w:val="FFFFFF"/>
                <w:lang w:eastAsia="fr-FR"/>
              </w:rPr>
            </w:pPr>
            <w:r w:rsidRPr="005B29FA">
              <w:rPr>
                <w:color w:val="FFFFFF"/>
                <w:lang w:eastAsia="fr-FR"/>
              </w:rPr>
              <w:t xml:space="preserve">Parameter name </w:t>
            </w:r>
          </w:p>
        </w:tc>
        <w:tc>
          <w:tcPr>
            <w:tcW w:w="1737" w:type="pct"/>
            <w:shd w:val="clear" w:color="000000" w:fill="00B0F0"/>
            <w:vAlign w:val="center"/>
            <w:hideMark/>
          </w:tcPr>
          <w:p w14:paraId="4AF27E2F" w14:textId="77777777" w:rsidR="004C5508" w:rsidRPr="005B29FA" w:rsidRDefault="004C5508" w:rsidP="003F395F">
            <w:pPr>
              <w:pStyle w:val="Prop1"/>
              <w:rPr>
                <w:color w:val="FFFFFF"/>
                <w:lang w:val="fr-FR" w:eastAsia="fr-FR"/>
              </w:rPr>
            </w:pPr>
            <w:r w:rsidRPr="005B29FA">
              <w:rPr>
                <w:color w:val="FFFFFF"/>
                <w:lang w:val="fr-FR" w:eastAsia="fr-FR"/>
              </w:rPr>
              <w:t>Value range</w:t>
            </w:r>
          </w:p>
        </w:tc>
        <w:tc>
          <w:tcPr>
            <w:tcW w:w="1060" w:type="pct"/>
            <w:shd w:val="clear" w:color="000000" w:fill="00B0F0"/>
            <w:vAlign w:val="center"/>
          </w:tcPr>
          <w:p w14:paraId="53DFB6AD" w14:textId="77777777" w:rsidR="004C5508" w:rsidRPr="005B29FA" w:rsidRDefault="004C5508" w:rsidP="003F395F">
            <w:pPr>
              <w:pStyle w:val="Prop1"/>
              <w:rPr>
                <w:color w:val="FFFFFF"/>
                <w:lang w:val="fr-FR" w:eastAsia="fr-FR"/>
              </w:rPr>
            </w:pPr>
            <w:r w:rsidRPr="005B29FA">
              <w:rPr>
                <w:color w:val="FFFFFF"/>
                <w:lang w:val="fr-FR" w:eastAsia="fr-FR"/>
              </w:rPr>
              <w:t>Granularity</w:t>
            </w:r>
          </w:p>
        </w:tc>
        <w:tc>
          <w:tcPr>
            <w:tcW w:w="827" w:type="pct"/>
            <w:shd w:val="clear" w:color="000000" w:fill="00B0F0"/>
            <w:vAlign w:val="center"/>
          </w:tcPr>
          <w:p w14:paraId="486FF060" w14:textId="77777777" w:rsidR="004C5508" w:rsidRPr="005B29FA" w:rsidRDefault="004C5508" w:rsidP="003F395F">
            <w:pPr>
              <w:pStyle w:val="Prop1"/>
              <w:rPr>
                <w:color w:val="FFFFFF"/>
                <w:lang w:val="fr-FR" w:eastAsia="fr-FR"/>
              </w:rPr>
            </w:pPr>
            <w:r w:rsidRPr="005B29FA">
              <w:rPr>
                <w:color w:val="FFFFFF"/>
                <w:lang w:val="fr-FR" w:eastAsia="fr-FR"/>
              </w:rPr>
              <w:t>Bits allocation</w:t>
            </w:r>
          </w:p>
        </w:tc>
      </w:tr>
      <w:tr w:rsidR="004C5508" w:rsidRPr="005B29FA" w14:paraId="183D9FDA" w14:textId="77777777" w:rsidTr="003F395F">
        <w:trPr>
          <w:trHeight w:val="47"/>
        </w:trPr>
        <w:tc>
          <w:tcPr>
            <w:tcW w:w="1376" w:type="pct"/>
            <w:shd w:val="clear" w:color="auto" w:fill="auto"/>
            <w:noWrap/>
            <w:vAlign w:val="center"/>
          </w:tcPr>
          <w:p w14:paraId="13BD9202" w14:textId="77777777" w:rsidR="004C5508" w:rsidRPr="00CC3DDA" w:rsidRDefault="004C5508" w:rsidP="003F395F">
            <w:pPr>
              <w:pStyle w:val="Prop1"/>
              <w:rPr>
                <w:color w:val="000000"/>
                <w:lang w:eastAsia="fr-FR"/>
              </w:rPr>
            </w:pPr>
            <w:r w:rsidRPr="00CC3DDA">
              <w:rPr>
                <w:lang w:eastAsia="fr-FR"/>
              </w:rPr>
              <w:t>TACommonThirdOrder</w:t>
            </w:r>
          </w:p>
        </w:tc>
        <w:tc>
          <w:tcPr>
            <w:tcW w:w="1737" w:type="pct"/>
            <w:shd w:val="clear" w:color="auto" w:fill="auto"/>
            <w:noWrap/>
            <w:vAlign w:val="center"/>
          </w:tcPr>
          <w:p w14:paraId="6A9712AB" w14:textId="77777777" w:rsidR="004C5508" w:rsidRPr="00CC3DDA" w:rsidRDefault="004C5508" w:rsidP="003F395F">
            <w:pPr>
              <w:pStyle w:val="Prop1"/>
            </w:pPr>
            <w:r w:rsidRPr="00CC3DDA">
              <w:t>-4912…+4912</w:t>
            </w:r>
          </w:p>
          <w:p w14:paraId="40B40FF3" w14:textId="77777777" w:rsidR="004C5508" w:rsidRPr="00CC3DDA" w:rsidRDefault="004C5508" w:rsidP="003F395F">
            <w:pPr>
              <w:pStyle w:val="Prop1"/>
            </w:pPr>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CC3DDA">
              <w:t>)</w:t>
            </w:r>
          </w:p>
        </w:tc>
        <w:tc>
          <w:tcPr>
            <w:tcW w:w="1060" w:type="pct"/>
            <w:vAlign w:val="center"/>
          </w:tcPr>
          <w:p w14:paraId="56D4B159" w14:textId="77777777" w:rsidR="004C5508" w:rsidRPr="00CC3DDA" w:rsidRDefault="004C5508" w:rsidP="003F395F">
            <w:pPr>
              <w:pStyle w:val="Prop1"/>
            </w:pPr>
            <m:oMathPara>
              <m:oMathParaPr>
                <m:jc m:val="left"/>
              </m:oMathParaPr>
              <m:oMath>
                <m:r>
                  <m:rPr>
                    <m:sty m:val="b"/>
                  </m:rPr>
                  <w:rPr>
                    <w:rFonts w:ascii="Cambria Math" w:hAnsi="Cambria Math"/>
                    <w:color w:val="000000"/>
                  </w:rPr>
                  <m:t>0.3×</m:t>
                </m:r>
                <m:sSup>
                  <m:sSupPr>
                    <m:ctrlPr>
                      <w:rPr>
                        <w:rFonts w:ascii="Cambria Math" w:hAnsi="Cambria Math"/>
                        <w:color w:val="000000"/>
                      </w:rPr>
                    </m:ctrlPr>
                  </m:sSupPr>
                  <m:e>
                    <m:r>
                      <m:rPr>
                        <m:sty m:val="b"/>
                      </m:rPr>
                      <w:rPr>
                        <w:rFonts w:ascii="Cambria Math" w:hAnsi="Cambria Math"/>
                        <w:color w:val="000000"/>
                      </w:rPr>
                      <m:t>10</m:t>
                    </m:r>
                  </m:e>
                  <m:sup>
                    <m:r>
                      <m:rPr>
                        <m:sty m:val="b"/>
                      </m:rPr>
                      <w:rPr>
                        <w:rFonts w:ascii="Cambria Math" w:hAnsi="Cambria Math"/>
                        <w:color w:val="000000"/>
                      </w:rPr>
                      <m:t>-5</m:t>
                    </m:r>
                  </m:sup>
                </m:sSup>
                <m:f>
                  <m:fPr>
                    <m:type m:val="lin"/>
                    <m:ctrlPr>
                      <w:rPr>
                        <w:rFonts w:ascii="Cambria Math" w:hAnsi="Cambria Math"/>
                        <w:color w:val="000000"/>
                      </w:rPr>
                    </m:ctrlPr>
                  </m:fPr>
                  <m:num>
                    <m:r>
                      <m:rPr>
                        <m:sty m:val="b"/>
                      </m:rPr>
                      <w:rPr>
                        <w:rFonts w:ascii="Cambria Math" w:hAnsi="Cambria Math"/>
                        <w:color w:val="000000"/>
                      </w:rPr>
                      <m:t>μs</m:t>
                    </m:r>
                  </m:num>
                  <m:den>
                    <m:sSup>
                      <m:sSupPr>
                        <m:ctrlPr>
                          <w:rPr>
                            <w:rFonts w:ascii="Cambria Math" w:hAnsi="Cambria Math"/>
                            <w:color w:val="000000"/>
                          </w:rPr>
                        </m:ctrlPr>
                      </m:sSupPr>
                      <m:e>
                        <m:r>
                          <m:rPr>
                            <m:sty m:val="b"/>
                          </m:rPr>
                          <w:rPr>
                            <w:rFonts w:ascii="Cambria Math" w:hAnsi="Cambria Math"/>
                            <w:color w:val="000000"/>
                          </w:rPr>
                          <m:t>s</m:t>
                        </m:r>
                      </m:e>
                      <m:sup>
                        <m:r>
                          <m:rPr>
                            <m:sty m:val="bi"/>
                          </m:rPr>
                          <w:rPr>
                            <w:rFonts w:ascii="Cambria Math" w:hAnsi="Cambria Math"/>
                            <w:color w:val="000000"/>
                          </w:rPr>
                          <m:t>3</m:t>
                        </m:r>
                      </m:sup>
                    </m:sSup>
                  </m:den>
                </m:f>
              </m:oMath>
            </m:oMathPara>
          </w:p>
        </w:tc>
        <w:tc>
          <w:tcPr>
            <w:tcW w:w="827" w:type="pct"/>
            <w:vAlign w:val="center"/>
          </w:tcPr>
          <w:p w14:paraId="38A47587" w14:textId="77777777" w:rsidR="004C5508" w:rsidRPr="00CC3DDA" w:rsidRDefault="004C5508" w:rsidP="003F395F">
            <w:pPr>
              <w:pStyle w:val="Prop1"/>
              <w:rPr>
                <w:color w:val="000000"/>
                <w:lang w:eastAsia="fr-FR"/>
              </w:rPr>
            </w:pPr>
            <w:r w:rsidRPr="00CC3DDA">
              <w:t>14 bits</w:t>
            </w:r>
          </w:p>
        </w:tc>
      </w:tr>
      <w:tr w:rsidR="004C5508" w:rsidRPr="005B29FA" w14:paraId="5E0A18C7" w14:textId="77777777" w:rsidTr="003F395F">
        <w:trPr>
          <w:trHeight w:val="47"/>
        </w:trPr>
        <w:tc>
          <w:tcPr>
            <w:tcW w:w="5000" w:type="pct"/>
            <w:gridSpan w:val="4"/>
            <w:shd w:val="clear" w:color="auto" w:fill="auto"/>
            <w:noWrap/>
            <w:vAlign w:val="center"/>
          </w:tcPr>
          <w:p w14:paraId="0F2A1F94" w14:textId="77777777" w:rsidR="004C5508" w:rsidRPr="00CC3DDA" w:rsidRDefault="004C5508" w:rsidP="003F395F">
            <w:pPr>
              <w:pStyle w:val="Prop1"/>
            </w:pPr>
            <w:r w:rsidRPr="005B29FA">
              <w:t xml:space="preserve">Value range </w:t>
            </w:r>
            <w:r>
              <w:t>is</w:t>
            </w:r>
            <w:r w:rsidRPr="005B29FA">
              <w:t xml:space="preserve"> given in unit of corresponding granularity</w:t>
            </w:r>
          </w:p>
        </w:tc>
      </w:tr>
    </w:tbl>
    <w:p w14:paraId="3CE3064C" w14:textId="77777777" w:rsidR="004C5508" w:rsidRPr="00945708" w:rsidRDefault="004C5508" w:rsidP="00936250">
      <w:pPr>
        <w:spacing w:after="120"/>
        <w:jc w:val="both"/>
        <w:rPr>
          <w:rFonts w:eastAsiaTheme="minorEastAsia"/>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2" w:name="_Ref124589665"/>
      <w:bookmarkStart w:id="3" w:name="_Ref71620620"/>
      <w:bookmarkStart w:id="4"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
      <w:bookmarkEnd w:id="3"/>
      <w:bookmarkEnd w:id="4"/>
    </w:p>
    <w:p w14:paraId="08C564F5" w14:textId="4D07EE41" w:rsidR="00E65D2A" w:rsidRDefault="0009641D" w:rsidP="0009641D">
      <w:pPr>
        <w:pStyle w:val="ListParagraph"/>
        <w:numPr>
          <w:ilvl w:val="0"/>
          <w:numId w:val="2"/>
        </w:numPr>
        <w:ind w:leftChars="0"/>
        <w:rPr>
          <w:rFonts w:eastAsia="SimSun"/>
          <w:sz w:val="22"/>
          <w:szCs w:val="22"/>
          <w:lang w:val="en-US" w:eastAsia="zh-CN"/>
        </w:rPr>
      </w:pPr>
      <w:r w:rsidRPr="0009641D">
        <w:rPr>
          <w:rFonts w:eastAsia="SimSun"/>
          <w:sz w:val="22"/>
          <w:szCs w:val="22"/>
          <w:lang w:val="en-US" w:eastAsia="zh-CN"/>
        </w:rPr>
        <w:t xml:space="preserve">RP-232669, NR NTN (Non-Terrestrial Networks) enhancements WID, RP#101, Bangalore, September, </w:t>
      </w:r>
      <w:r w:rsidR="00FC0692" w:rsidRPr="0009641D">
        <w:rPr>
          <w:rFonts w:eastAsia="SimSun"/>
          <w:sz w:val="22"/>
          <w:szCs w:val="22"/>
          <w:lang w:val="en-US" w:eastAsia="zh-CN"/>
        </w:rPr>
        <w:t>202</w:t>
      </w:r>
      <w:r w:rsidR="004C16B2" w:rsidRPr="0009641D">
        <w:rPr>
          <w:rFonts w:eastAsia="SimSun"/>
          <w:sz w:val="22"/>
          <w:szCs w:val="22"/>
          <w:lang w:val="en-US" w:eastAsia="zh-CN"/>
        </w:rPr>
        <w:t>3</w:t>
      </w:r>
      <w:r w:rsidR="00A956C0">
        <w:rPr>
          <w:rFonts w:eastAsia="SimSun"/>
          <w:sz w:val="22"/>
          <w:szCs w:val="22"/>
          <w:lang w:val="en-US" w:eastAsia="zh-CN"/>
        </w:rPr>
        <w:t>.</w:t>
      </w:r>
    </w:p>
    <w:p w14:paraId="444C1AB7" w14:textId="7C7C8297" w:rsidR="00A956C0" w:rsidRDefault="00A956C0" w:rsidP="0009641D">
      <w:pPr>
        <w:pStyle w:val="ListParagraph"/>
        <w:numPr>
          <w:ilvl w:val="0"/>
          <w:numId w:val="2"/>
        </w:numPr>
        <w:ind w:leftChars="0"/>
        <w:rPr>
          <w:rFonts w:eastAsia="SimSun"/>
          <w:sz w:val="22"/>
          <w:szCs w:val="22"/>
          <w:lang w:val="en-US" w:eastAsia="zh-CN"/>
        </w:rPr>
      </w:pPr>
      <w:r>
        <w:rPr>
          <w:rFonts w:eastAsia="SimSun"/>
          <w:sz w:val="22"/>
          <w:szCs w:val="22"/>
          <w:lang w:val="en-US" w:eastAsia="zh-CN"/>
        </w:rPr>
        <w:t xml:space="preserve">R4-2305926, Moderator (CATT), LS </w:t>
      </w:r>
      <w:r w:rsidRPr="00A956C0">
        <w:rPr>
          <w:rFonts w:eastAsia="SimSun"/>
          <w:sz w:val="22"/>
          <w:szCs w:val="22"/>
          <w:lang w:val="en-US" w:eastAsia="zh-CN"/>
        </w:rPr>
        <w:t>on the system parameters for NTN above 10 GHz</w:t>
      </w:r>
      <w:r>
        <w:rPr>
          <w:rFonts w:eastAsia="SimSun"/>
          <w:sz w:val="22"/>
          <w:szCs w:val="22"/>
          <w:lang w:val="en-US" w:eastAsia="zh-CN"/>
        </w:rPr>
        <w:t>, RAN4#106bis-e, April 2023</w:t>
      </w:r>
    </w:p>
    <w:p w14:paraId="4FAAE775" w14:textId="51AF9027" w:rsidR="00A956C0" w:rsidRDefault="00A956C0" w:rsidP="0009641D">
      <w:pPr>
        <w:pStyle w:val="ListParagraph"/>
        <w:numPr>
          <w:ilvl w:val="0"/>
          <w:numId w:val="2"/>
        </w:numPr>
        <w:ind w:leftChars="0"/>
        <w:rPr>
          <w:rFonts w:eastAsia="SimSun"/>
          <w:sz w:val="22"/>
          <w:szCs w:val="22"/>
          <w:lang w:val="en-US" w:eastAsia="zh-CN"/>
        </w:rPr>
      </w:pPr>
      <w:r>
        <w:rPr>
          <w:rFonts w:eastAsia="SimSun"/>
          <w:sz w:val="22"/>
          <w:szCs w:val="22"/>
          <w:lang w:val="en-US" w:eastAsia="zh-CN"/>
        </w:rPr>
        <w:lastRenderedPageBreak/>
        <w:t>R</w:t>
      </w:r>
      <w:r w:rsidR="00956195">
        <w:rPr>
          <w:rFonts w:eastAsia="SimSun"/>
          <w:sz w:val="22"/>
          <w:szCs w:val="22"/>
          <w:lang w:val="en-US" w:eastAsia="zh-CN"/>
        </w:rPr>
        <w:t>P#232694</w:t>
      </w:r>
      <w:r>
        <w:rPr>
          <w:rFonts w:eastAsia="SimSun"/>
          <w:sz w:val="22"/>
          <w:szCs w:val="22"/>
          <w:lang w:val="en-US" w:eastAsia="zh-CN"/>
        </w:rPr>
        <w:t xml:space="preserve">, Moderator (Thales), </w:t>
      </w:r>
      <w:r w:rsidRPr="00A956C0">
        <w:rPr>
          <w:rFonts w:eastAsia="SimSun"/>
          <w:sz w:val="22"/>
          <w:szCs w:val="22"/>
          <w:lang w:val="en-US" w:eastAsia="zh-CN"/>
        </w:rPr>
        <w:t>WF on potential RRM objectives for NR-NTN deployment in above 10 GHz</w:t>
      </w:r>
      <w:r>
        <w:rPr>
          <w:rFonts w:eastAsia="SimSun"/>
          <w:sz w:val="22"/>
          <w:szCs w:val="22"/>
          <w:lang w:val="en-US" w:eastAsia="zh-CN"/>
        </w:rPr>
        <w:t xml:space="preserve"> </w:t>
      </w:r>
      <w:r w:rsidRPr="00A956C0">
        <w:rPr>
          <w:rFonts w:eastAsia="SimSun"/>
          <w:sz w:val="22"/>
          <w:szCs w:val="22"/>
          <w:lang w:val="en-US" w:eastAsia="zh-CN"/>
        </w:rPr>
        <w:t>(NR-NTN-enh WID)</w:t>
      </w:r>
      <w:r>
        <w:rPr>
          <w:rFonts w:eastAsia="SimSun"/>
          <w:sz w:val="22"/>
          <w:szCs w:val="22"/>
          <w:lang w:val="en-US" w:eastAsia="zh-CN"/>
        </w:rPr>
        <w:t xml:space="preserve">, </w:t>
      </w:r>
      <w:r w:rsidR="00956195">
        <w:rPr>
          <w:rFonts w:eastAsia="SimSun"/>
          <w:sz w:val="22"/>
          <w:szCs w:val="22"/>
          <w:lang w:val="en-US" w:eastAsia="zh-CN"/>
        </w:rPr>
        <w:t xml:space="preserve">RAN#101, </w:t>
      </w:r>
      <w:r>
        <w:rPr>
          <w:rFonts w:eastAsia="SimSun"/>
          <w:sz w:val="22"/>
          <w:szCs w:val="22"/>
          <w:lang w:val="en-US" w:eastAsia="zh-CN"/>
        </w:rPr>
        <w:t>Bangalore, September 2023</w:t>
      </w:r>
    </w:p>
    <w:p w14:paraId="68E30C38" w14:textId="4810A223" w:rsidR="00956195" w:rsidRDefault="00956195" w:rsidP="0009641D">
      <w:pPr>
        <w:pStyle w:val="ListParagraph"/>
        <w:numPr>
          <w:ilvl w:val="0"/>
          <w:numId w:val="2"/>
        </w:numPr>
        <w:ind w:leftChars="0"/>
        <w:rPr>
          <w:rFonts w:eastAsia="SimSun"/>
          <w:sz w:val="22"/>
          <w:szCs w:val="22"/>
          <w:lang w:val="en-US" w:eastAsia="zh-CN"/>
        </w:rPr>
      </w:pPr>
      <w:r>
        <w:rPr>
          <w:rFonts w:eastAsia="SimSun"/>
          <w:sz w:val="22"/>
          <w:szCs w:val="22"/>
          <w:lang w:val="en-US" w:eastAsia="zh-CN"/>
        </w:rPr>
        <w:t xml:space="preserve">R1-2306408, Thales, </w:t>
      </w:r>
      <w:r w:rsidRPr="00956195">
        <w:rPr>
          <w:rFonts w:eastAsia="SimSun"/>
          <w:sz w:val="22"/>
          <w:szCs w:val="22"/>
          <w:lang w:val="en-US" w:eastAsia="zh-CN"/>
        </w:rPr>
        <w:t>Discussion on RAN4 LS on the system parameters for NTN above 10 GHz</w:t>
      </w:r>
      <w:r>
        <w:rPr>
          <w:rFonts w:eastAsia="SimSun"/>
          <w:sz w:val="22"/>
          <w:szCs w:val="22"/>
          <w:lang w:val="en-US" w:eastAsia="zh-CN"/>
        </w:rPr>
        <w:t>, RAN1#114, Toulouse, August 2023</w:t>
      </w:r>
    </w:p>
    <w:p w14:paraId="4128EAD6" w14:textId="508BDED2" w:rsidR="00956195" w:rsidRPr="0009641D" w:rsidRDefault="00956195" w:rsidP="0009641D">
      <w:pPr>
        <w:pStyle w:val="ListParagraph"/>
        <w:numPr>
          <w:ilvl w:val="0"/>
          <w:numId w:val="2"/>
        </w:numPr>
        <w:ind w:leftChars="0"/>
        <w:rPr>
          <w:rFonts w:eastAsia="SimSun"/>
          <w:sz w:val="22"/>
          <w:szCs w:val="22"/>
          <w:lang w:val="en-US" w:eastAsia="zh-CN"/>
        </w:rPr>
      </w:pPr>
      <w:r>
        <w:rPr>
          <w:rFonts w:eastAsia="SimSun"/>
          <w:sz w:val="22"/>
          <w:szCs w:val="22"/>
          <w:lang w:val="en-US" w:eastAsia="zh-CN"/>
        </w:rPr>
        <w:t xml:space="preserve">R1-2308416, Nokia, </w:t>
      </w:r>
      <w:r w:rsidRPr="00956195">
        <w:rPr>
          <w:rFonts w:eastAsia="SimSun"/>
          <w:sz w:val="22"/>
          <w:szCs w:val="22"/>
          <w:lang w:val="en-US" w:eastAsia="zh-CN"/>
        </w:rPr>
        <w:t>Discussion on RAN4 LS on FR2-NTN aspects</w:t>
      </w:r>
      <w:r>
        <w:rPr>
          <w:rFonts w:eastAsia="SimSun"/>
          <w:sz w:val="22"/>
          <w:szCs w:val="22"/>
          <w:lang w:val="en-US" w:eastAsia="zh-CN"/>
        </w:rPr>
        <w:t xml:space="preserve">, </w:t>
      </w:r>
      <w:r w:rsidRPr="00956195">
        <w:rPr>
          <w:rFonts w:eastAsia="SimSun"/>
          <w:sz w:val="22"/>
          <w:szCs w:val="22"/>
          <w:lang w:val="en-US" w:eastAsia="zh-CN"/>
        </w:rPr>
        <w:t>RAN1#114, Toulouse, August 2023</w:t>
      </w:r>
    </w:p>
    <w:sectPr w:rsidR="00956195" w:rsidRPr="0009641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D0B01" w14:textId="77777777" w:rsidR="00883740" w:rsidRDefault="00883740" w:rsidP="005F2BBB">
      <w:r>
        <w:separator/>
      </w:r>
    </w:p>
  </w:endnote>
  <w:endnote w:type="continuationSeparator" w:id="0">
    <w:p w14:paraId="19E10DEE" w14:textId="77777777" w:rsidR="00883740" w:rsidRDefault="00883740"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A60F2" w14:textId="77777777" w:rsidR="00883740" w:rsidRDefault="00883740" w:rsidP="005F2BBB">
      <w:r>
        <w:separator/>
      </w:r>
    </w:p>
  </w:footnote>
  <w:footnote w:type="continuationSeparator" w:id="0">
    <w:p w14:paraId="264A051B" w14:textId="77777777" w:rsidR="00883740" w:rsidRDefault="00883740"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7E00"/>
    <w:multiLevelType w:val="hybridMultilevel"/>
    <w:tmpl w:val="2932E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2085E"/>
    <w:multiLevelType w:val="hybridMultilevel"/>
    <w:tmpl w:val="74AEA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5551A8"/>
    <w:multiLevelType w:val="hybridMultilevel"/>
    <w:tmpl w:val="AFF01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48741A"/>
    <w:multiLevelType w:val="hybridMultilevel"/>
    <w:tmpl w:val="929E4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831B3"/>
    <w:multiLevelType w:val="hybridMultilevel"/>
    <w:tmpl w:val="71A2D09A"/>
    <w:lvl w:ilvl="0" w:tplc="1BCE1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3B57613"/>
    <w:multiLevelType w:val="hybridMultilevel"/>
    <w:tmpl w:val="04A2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D25C65"/>
    <w:multiLevelType w:val="hybridMultilevel"/>
    <w:tmpl w:val="A2262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54E9C"/>
    <w:multiLevelType w:val="hybridMultilevel"/>
    <w:tmpl w:val="F5046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3509B"/>
    <w:multiLevelType w:val="hybridMultilevel"/>
    <w:tmpl w:val="0FB85C44"/>
    <w:lvl w:ilvl="0" w:tplc="FAB44FF2">
      <w:start w:val="1"/>
      <w:numFmt w:val="bullet"/>
      <w:lvlText w:val=""/>
      <w:lvlJc w:val="left"/>
      <w:pPr>
        <w:tabs>
          <w:tab w:val="num" w:pos="720"/>
        </w:tabs>
        <w:ind w:left="720" w:hanging="360"/>
      </w:pPr>
      <w:rPr>
        <w:rFonts w:ascii="Symbol" w:hAnsi="Symbol" w:hint="default"/>
      </w:rPr>
    </w:lvl>
    <w:lvl w:ilvl="1" w:tplc="585ADFFA" w:tentative="1">
      <w:start w:val="1"/>
      <w:numFmt w:val="bullet"/>
      <w:lvlText w:val=""/>
      <w:lvlJc w:val="left"/>
      <w:pPr>
        <w:tabs>
          <w:tab w:val="num" w:pos="1440"/>
        </w:tabs>
        <w:ind w:left="1440" w:hanging="360"/>
      </w:pPr>
      <w:rPr>
        <w:rFonts w:ascii="Symbol" w:hAnsi="Symbol" w:hint="default"/>
      </w:rPr>
    </w:lvl>
    <w:lvl w:ilvl="2" w:tplc="153A9084" w:tentative="1">
      <w:start w:val="1"/>
      <w:numFmt w:val="bullet"/>
      <w:lvlText w:val=""/>
      <w:lvlJc w:val="left"/>
      <w:pPr>
        <w:tabs>
          <w:tab w:val="num" w:pos="2160"/>
        </w:tabs>
        <w:ind w:left="2160" w:hanging="360"/>
      </w:pPr>
      <w:rPr>
        <w:rFonts w:ascii="Symbol" w:hAnsi="Symbol" w:hint="default"/>
      </w:rPr>
    </w:lvl>
    <w:lvl w:ilvl="3" w:tplc="A9A8368A" w:tentative="1">
      <w:start w:val="1"/>
      <w:numFmt w:val="bullet"/>
      <w:lvlText w:val=""/>
      <w:lvlJc w:val="left"/>
      <w:pPr>
        <w:tabs>
          <w:tab w:val="num" w:pos="2880"/>
        </w:tabs>
        <w:ind w:left="2880" w:hanging="360"/>
      </w:pPr>
      <w:rPr>
        <w:rFonts w:ascii="Symbol" w:hAnsi="Symbol" w:hint="default"/>
      </w:rPr>
    </w:lvl>
    <w:lvl w:ilvl="4" w:tplc="B8A084C4" w:tentative="1">
      <w:start w:val="1"/>
      <w:numFmt w:val="bullet"/>
      <w:lvlText w:val=""/>
      <w:lvlJc w:val="left"/>
      <w:pPr>
        <w:tabs>
          <w:tab w:val="num" w:pos="3600"/>
        </w:tabs>
        <w:ind w:left="3600" w:hanging="360"/>
      </w:pPr>
      <w:rPr>
        <w:rFonts w:ascii="Symbol" w:hAnsi="Symbol" w:hint="default"/>
      </w:rPr>
    </w:lvl>
    <w:lvl w:ilvl="5" w:tplc="DA603A0A" w:tentative="1">
      <w:start w:val="1"/>
      <w:numFmt w:val="bullet"/>
      <w:lvlText w:val=""/>
      <w:lvlJc w:val="left"/>
      <w:pPr>
        <w:tabs>
          <w:tab w:val="num" w:pos="4320"/>
        </w:tabs>
        <w:ind w:left="4320" w:hanging="360"/>
      </w:pPr>
      <w:rPr>
        <w:rFonts w:ascii="Symbol" w:hAnsi="Symbol" w:hint="default"/>
      </w:rPr>
    </w:lvl>
    <w:lvl w:ilvl="6" w:tplc="07DE4C68" w:tentative="1">
      <w:start w:val="1"/>
      <w:numFmt w:val="bullet"/>
      <w:lvlText w:val=""/>
      <w:lvlJc w:val="left"/>
      <w:pPr>
        <w:tabs>
          <w:tab w:val="num" w:pos="5040"/>
        </w:tabs>
        <w:ind w:left="5040" w:hanging="360"/>
      </w:pPr>
      <w:rPr>
        <w:rFonts w:ascii="Symbol" w:hAnsi="Symbol" w:hint="default"/>
      </w:rPr>
    </w:lvl>
    <w:lvl w:ilvl="7" w:tplc="8108811C" w:tentative="1">
      <w:start w:val="1"/>
      <w:numFmt w:val="bullet"/>
      <w:lvlText w:val=""/>
      <w:lvlJc w:val="left"/>
      <w:pPr>
        <w:tabs>
          <w:tab w:val="num" w:pos="5760"/>
        </w:tabs>
        <w:ind w:left="5760" w:hanging="360"/>
      </w:pPr>
      <w:rPr>
        <w:rFonts w:ascii="Symbol" w:hAnsi="Symbol" w:hint="default"/>
      </w:rPr>
    </w:lvl>
    <w:lvl w:ilvl="8" w:tplc="9628006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583ADB"/>
    <w:multiLevelType w:val="hybridMultilevel"/>
    <w:tmpl w:val="3CF61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2445A"/>
    <w:multiLevelType w:val="hybridMultilevel"/>
    <w:tmpl w:val="EA22C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E5403A"/>
    <w:multiLevelType w:val="multilevel"/>
    <w:tmpl w:val="66EE4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5E76F2"/>
    <w:multiLevelType w:val="hybridMultilevel"/>
    <w:tmpl w:val="03FAE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1A71F7"/>
    <w:multiLevelType w:val="hybridMultilevel"/>
    <w:tmpl w:val="CC44E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960A00"/>
    <w:multiLevelType w:val="hybridMultilevel"/>
    <w:tmpl w:val="8BB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993703"/>
    <w:multiLevelType w:val="hybridMultilevel"/>
    <w:tmpl w:val="33B6389C"/>
    <w:lvl w:ilvl="0" w:tplc="321EF3C6">
      <w:start w:val="1"/>
      <w:numFmt w:val="bullet"/>
      <w:lvlText w:val="•"/>
      <w:lvlJc w:val="left"/>
      <w:pPr>
        <w:tabs>
          <w:tab w:val="num" w:pos="360"/>
        </w:tabs>
        <w:ind w:left="360" w:hanging="360"/>
      </w:pPr>
      <w:rPr>
        <w:rFonts w:ascii="Arial" w:hAnsi="Arial" w:hint="default"/>
      </w:rPr>
    </w:lvl>
    <w:lvl w:ilvl="1" w:tplc="B4549E86">
      <w:numFmt w:val="bullet"/>
      <w:lvlText w:val="•"/>
      <w:lvlJc w:val="left"/>
      <w:pPr>
        <w:tabs>
          <w:tab w:val="num" w:pos="1080"/>
        </w:tabs>
        <w:ind w:left="1080" w:hanging="360"/>
      </w:pPr>
      <w:rPr>
        <w:rFonts w:ascii="Arial" w:hAnsi="Arial" w:hint="default"/>
      </w:rPr>
    </w:lvl>
    <w:lvl w:ilvl="2" w:tplc="0890CC30" w:tentative="1">
      <w:start w:val="1"/>
      <w:numFmt w:val="bullet"/>
      <w:lvlText w:val="•"/>
      <w:lvlJc w:val="left"/>
      <w:pPr>
        <w:tabs>
          <w:tab w:val="num" w:pos="1800"/>
        </w:tabs>
        <w:ind w:left="1800" w:hanging="360"/>
      </w:pPr>
      <w:rPr>
        <w:rFonts w:ascii="Arial" w:hAnsi="Arial" w:hint="default"/>
      </w:rPr>
    </w:lvl>
    <w:lvl w:ilvl="3" w:tplc="ECFE49E0" w:tentative="1">
      <w:start w:val="1"/>
      <w:numFmt w:val="bullet"/>
      <w:lvlText w:val="•"/>
      <w:lvlJc w:val="left"/>
      <w:pPr>
        <w:tabs>
          <w:tab w:val="num" w:pos="2520"/>
        </w:tabs>
        <w:ind w:left="2520" w:hanging="360"/>
      </w:pPr>
      <w:rPr>
        <w:rFonts w:ascii="Arial" w:hAnsi="Arial" w:hint="default"/>
      </w:rPr>
    </w:lvl>
    <w:lvl w:ilvl="4" w:tplc="911A293A" w:tentative="1">
      <w:start w:val="1"/>
      <w:numFmt w:val="bullet"/>
      <w:lvlText w:val="•"/>
      <w:lvlJc w:val="left"/>
      <w:pPr>
        <w:tabs>
          <w:tab w:val="num" w:pos="3240"/>
        </w:tabs>
        <w:ind w:left="3240" w:hanging="360"/>
      </w:pPr>
      <w:rPr>
        <w:rFonts w:ascii="Arial" w:hAnsi="Arial" w:hint="default"/>
      </w:rPr>
    </w:lvl>
    <w:lvl w:ilvl="5" w:tplc="E2CEA4D0" w:tentative="1">
      <w:start w:val="1"/>
      <w:numFmt w:val="bullet"/>
      <w:lvlText w:val="•"/>
      <w:lvlJc w:val="left"/>
      <w:pPr>
        <w:tabs>
          <w:tab w:val="num" w:pos="3960"/>
        </w:tabs>
        <w:ind w:left="3960" w:hanging="360"/>
      </w:pPr>
      <w:rPr>
        <w:rFonts w:ascii="Arial" w:hAnsi="Arial" w:hint="default"/>
      </w:rPr>
    </w:lvl>
    <w:lvl w:ilvl="6" w:tplc="68F26E4A" w:tentative="1">
      <w:start w:val="1"/>
      <w:numFmt w:val="bullet"/>
      <w:lvlText w:val="•"/>
      <w:lvlJc w:val="left"/>
      <w:pPr>
        <w:tabs>
          <w:tab w:val="num" w:pos="4680"/>
        </w:tabs>
        <w:ind w:left="4680" w:hanging="360"/>
      </w:pPr>
      <w:rPr>
        <w:rFonts w:ascii="Arial" w:hAnsi="Arial" w:hint="default"/>
      </w:rPr>
    </w:lvl>
    <w:lvl w:ilvl="7" w:tplc="A90245FA" w:tentative="1">
      <w:start w:val="1"/>
      <w:numFmt w:val="bullet"/>
      <w:lvlText w:val="•"/>
      <w:lvlJc w:val="left"/>
      <w:pPr>
        <w:tabs>
          <w:tab w:val="num" w:pos="5400"/>
        </w:tabs>
        <w:ind w:left="5400" w:hanging="360"/>
      </w:pPr>
      <w:rPr>
        <w:rFonts w:ascii="Arial" w:hAnsi="Arial" w:hint="default"/>
      </w:rPr>
    </w:lvl>
    <w:lvl w:ilvl="8" w:tplc="087E4060"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71A6158"/>
    <w:multiLevelType w:val="hybridMultilevel"/>
    <w:tmpl w:val="93D4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726288"/>
    <w:multiLevelType w:val="hybridMultilevel"/>
    <w:tmpl w:val="77F2D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5589765">
    <w:abstractNumId w:val="9"/>
  </w:num>
  <w:num w:numId="2" w16cid:durableId="1694764824">
    <w:abstractNumId w:val="4"/>
  </w:num>
  <w:num w:numId="3" w16cid:durableId="984317091">
    <w:abstractNumId w:val="10"/>
  </w:num>
  <w:num w:numId="4" w16cid:durableId="1371611647">
    <w:abstractNumId w:val="15"/>
  </w:num>
  <w:num w:numId="5" w16cid:durableId="2144303661">
    <w:abstractNumId w:val="17"/>
  </w:num>
  <w:num w:numId="6" w16cid:durableId="2072849566">
    <w:abstractNumId w:val="1"/>
  </w:num>
  <w:num w:numId="7" w16cid:durableId="1808084559">
    <w:abstractNumId w:val="6"/>
  </w:num>
  <w:num w:numId="8" w16cid:durableId="1772162577">
    <w:abstractNumId w:val="8"/>
  </w:num>
  <w:num w:numId="9" w16cid:durableId="464199314">
    <w:abstractNumId w:val="14"/>
  </w:num>
  <w:num w:numId="10" w16cid:durableId="321546075">
    <w:abstractNumId w:val="19"/>
  </w:num>
  <w:num w:numId="11" w16cid:durableId="1447193569">
    <w:abstractNumId w:val="2"/>
  </w:num>
  <w:num w:numId="12" w16cid:durableId="2071725526">
    <w:abstractNumId w:val="0"/>
  </w:num>
  <w:num w:numId="13" w16cid:durableId="814227554">
    <w:abstractNumId w:val="16"/>
  </w:num>
  <w:num w:numId="14" w16cid:durableId="132646964">
    <w:abstractNumId w:val="7"/>
  </w:num>
  <w:num w:numId="15" w16cid:durableId="1213228667">
    <w:abstractNumId w:val="21"/>
  </w:num>
  <w:num w:numId="16" w16cid:durableId="1476920622">
    <w:abstractNumId w:val="20"/>
  </w:num>
  <w:num w:numId="17" w16cid:durableId="638461253">
    <w:abstractNumId w:val="22"/>
  </w:num>
  <w:num w:numId="18" w16cid:durableId="2035836207">
    <w:abstractNumId w:val="13"/>
  </w:num>
  <w:num w:numId="19" w16cid:durableId="1232426089">
    <w:abstractNumId w:val="23"/>
  </w:num>
  <w:num w:numId="20" w16cid:durableId="1633711890">
    <w:abstractNumId w:val="9"/>
  </w:num>
  <w:num w:numId="21" w16cid:durableId="713696753">
    <w:abstractNumId w:val="9"/>
  </w:num>
  <w:num w:numId="22" w16cid:durableId="732315098">
    <w:abstractNumId w:val="5"/>
  </w:num>
  <w:num w:numId="23" w16cid:durableId="590704707">
    <w:abstractNumId w:val="9"/>
  </w:num>
  <w:num w:numId="24" w16cid:durableId="2032028804">
    <w:abstractNumId w:val="3"/>
  </w:num>
  <w:num w:numId="25" w16cid:durableId="420957853">
    <w:abstractNumId w:val="11"/>
  </w:num>
  <w:num w:numId="26" w16cid:durableId="105471988">
    <w:abstractNumId w:val="18"/>
  </w:num>
  <w:num w:numId="27" w16cid:durableId="1133870383">
    <w:abstractNumId w:val="12"/>
  </w:num>
  <w:num w:numId="28" w16cid:durableId="87196337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52FC"/>
    <w:rsid w:val="0001343A"/>
    <w:rsid w:val="00013BA1"/>
    <w:rsid w:val="000163F6"/>
    <w:rsid w:val="00017CC2"/>
    <w:rsid w:val="000209AC"/>
    <w:rsid w:val="00020B5F"/>
    <w:rsid w:val="000212A8"/>
    <w:rsid w:val="00023ACF"/>
    <w:rsid w:val="00024209"/>
    <w:rsid w:val="00025F93"/>
    <w:rsid w:val="00030A7E"/>
    <w:rsid w:val="000325A5"/>
    <w:rsid w:val="00035B77"/>
    <w:rsid w:val="0003709E"/>
    <w:rsid w:val="000400BC"/>
    <w:rsid w:val="000435B4"/>
    <w:rsid w:val="00045964"/>
    <w:rsid w:val="0004614E"/>
    <w:rsid w:val="00046B2B"/>
    <w:rsid w:val="00050812"/>
    <w:rsid w:val="00051022"/>
    <w:rsid w:val="000512AA"/>
    <w:rsid w:val="0006203A"/>
    <w:rsid w:val="00063F68"/>
    <w:rsid w:val="00067B15"/>
    <w:rsid w:val="00077245"/>
    <w:rsid w:val="00081D46"/>
    <w:rsid w:val="00085776"/>
    <w:rsid w:val="00085D68"/>
    <w:rsid w:val="000900A3"/>
    <w:rsid w:val="000912B4"/>
    <w:rsid w:val="000914FB"/>
    <w:rsid w:val="0009641D"/>
    <w:rsid w:val="00097900"/>
    <w:rsid w:val="000A4034"/>
    <w:rsid w:val="000A5DD2"/>
    <w:rsid w:val="000B129F"/>
    <w:rsid w:val="000B300A"/>
    <w:rsid w:val="000B46F4"/>
    <w:rsid w:val="000B4A05"/>
    <w:rsid w:val="000D28D7"/>
    <w:rsid w:val="000D29E3"/>
    <w:rsid w:val="000D7AC4"/>
    <w:rsid w:val="000E2E71"/>
    <w:rsid w:val="000F0138"/>
    <w:rsid w:val="000F1225"/>
    <w:rsid w:val="000F6804"/>
    <w:rsid w:val="000F6CF0"/>
    <w:rsid w:val="00100348"/>
    <w:rsid w:val="00103F06"/>
    <w:rsid w:val="001075BF"/>
    <w:rsid w:val="00111BA1"/>
    <w:rsid w:val="00113D3C"/>
    <w:rsid w:val="001156C5"/>
    <w:rsid w:val="00115936"/>
    <w:rsid w:val="00116159"/>
    <w:rsid w:val="00116861"/>
    <w:rsid w:val="00116DDB"/>
    <w:rsid w:val="001177FA"/>
    <w:rsid w:val="00121425"/>
    <w:rsid w:val="00122AA5"/>
    <w:rsid w:val="001333D2"/>
    <w:rsid w:val="00135149"/>
    <w:rsid w:val="0013532A"/>
    <w:rsid w:val="00143A56"/>
    <w:rsid w:val="00145DFF"/>
    <w:rsid w:val="00146B5E"/>
    <w:rsid w:val="0014772F"/>
    <w:rsid w:val="00153617"/>
    <w:rsid w:val="0015573E"/>
    <w:rsid w:val="00160376"/>
    <w:rsid w:val="00163085"/>
    <w:rsid w:val="001710E8"/>
    <w:rsid w:val="00172634"/>
    <w:rsid w:val="001757EF"/>
    <w:rsid w:val="001758B8"/>
    <w:rsid w:val="00176C8F"/>
    <w:rsid w:val="00181EAA"/>
    <w:rsid w:val="00192737"/>
    <w:rsid w:val="00197D37"/>
    <w:rsid w:val="001A0DD4"/>
    <w:rsid w:val="001A340F"/>
    <w:rsid w:val="001A3B35"/>
    <w:rsid w:val="001A678F"/>
    <w:rsid w:val="001B39D4"/>
    <w:rsid w:val="001B4467"/>
    <w:rsid w:val="001B4A0B"/>
    <w:rsid w:val="001C303D"/>
    <w:rsid w:val="001C3368"/>
    <w:rsid w:val="001C3C44"/>
    <w:rsid w:val="001C5B26"/>
    <w:rsid w:val="001C5B27"/>
    <w:rsid w:val="001C773C"/>
    <w:rsid w:val="001D26D2"/>
    <w:rsid w:val="001D2E2B"/>
    <w:rsid w:val="001D3FCD"/>
    <w:rsid w:val="001E258E"/>
    <w:rsid w:val="001E3E65"/>
    <w:rsid w:val="001E52DC"/>
    <w:rsid w:val="001E6724"/>
    <w:rsid w:val="001E6976"/>
    <w:rsid w:val="001E6BBE"/>
    <w:rsid w:val="001F22A9"/>
    <w:rsid w:val="001F4FBD"/>
    <w:rsid w:val="001F67B2"/>
    <w:rsid w:val="001F7CB6"/>
    <w:rsid w:val="00211CA4"/>
    <w:rsid w:val="00212726"/>
    <w:rsid w:val="00212A3B"/>
    <w:rsid w:val="00213BE9"/>
    <w:rsid w:val="00214FF6"/>
    <w:rsid w:val="00223561"/>
    <w:rsid w:val="002274E1"/>
    <w:rsid w:val="0023032C"/>
    <w:rsid w:val="00231E7B"/>
    <w:rsid w:val="00237B81"/>
    <w:rsid w:val="00237D6A"/>
    <w:rsid w:val="00241F2A"/>
    <w:rsid w:val="002447F2"/>
    <w:rsid w:val="002537DB"/>
    <w:rsid w:val="002539F8"/>
    <w:rsid w:val="00254902"/>
    <w:rsid w:val="0026017E"/>
    <w:rsid w:val="0026094D"/>
    <w:rsid w:val="00260B5F"/>
    <w:rsid w:val="00267F3B"/>
    <w:rsid w:val="0027315D"/>
    <w:rsid w:val="00273196"/>
    <w:rsid w:val="00273B24"/>
    <w:rsid w:val="002741DB"/>
    <w:rsid w:val="00274EFB"/>
    <w:rsid w:val="0027578E"/>
    <w:rsid w:val="00276DCD"/>
    <w:rsid w:val="002807C8"/>
    <w:rsid w:val="00282A7D"/>
    <w:rsid w:val="00282E2D"/>
    <w:rsid w:val="00286FFA"/>
    <w:rsid w:val="00287E04"/>
    <w:rsid w:val="002A0589"/>
    <w:rsid w:val="002A0BD0"/>
    <w:rsid w:val="002A7B98"/>
    <w:rsid w:val="002B14E2"/>
    <w:rsid w:val="002B2724"/>
    <w:rsid w:val="002B4334"/>
    <w:rsid w:val="002B564A"/>
    <w:rsid w:val="002B635C"/>
    <w:rsid w:val="002C047D"/>
    <w:rsid w:val="002C1B43"/>
    <w:rsid w:val="002C2966"/>
    <w:rsid w:val="002C2EC6"/>
    <w:rsid w:val="002C66C4"/>
    <w:rsid w:val="002C71D0"/>
    <w:rsid w:val="002C7CDB"/>
    <w:rsid w:val="002D0C4A"/>
    <w:rsid w:val="002D0CFD"/>
    <w:rsid w:val="002D5790"/>
    <w:rsid w:val="002D60A6"/>
    <w:rsid w:val="002D76D9"/>
    <w:rsid w:val="002E055E"/>
    <w:rsid w:val="002E10C4"/>
    <w:rsid w:val="002E4ED5"/>
    <w:rsid w:val="002E5ADE"/>
    <w:rsid w:val="002F701E"/>
    <w:rsid w:val="002F771D"/>
    <w:rsid w:val="003005A0"/>
    <w:rsid w:val="003114A7"/>
    <w:rsid w:val="00313834"/>
    <w:rsid w:val="0031499D"/>
    <w:rsid w:val="00316C30"/>
    <w:rsid w:val="00317AF0"/>
    <w:rsid w:val="00321236"/>
    <w:rsid w:val="00324077"/>
    <w:rsid w:val="003256F5"/>
    <w:rsid w:val="0032607D"/>
    <w:rsid w:val="0033086C"/>
    <w:rsid w:val="00333E67"/>
    <w:rsid w:val="003349C1"/>
    <w:rsid w:val="00335C95"/>
    <w:rsid w:val="0033742D"/>
    <w:rsid w:val="00345F05"/>
    <w:rsid w:val="00346DC2"/>
    <w:rsid w:val="00347884"/>
    <w:rsid w:val="00356CF8"/>
    <w:rsid w:val="00361222"/>
    <w:rsid w:val="00365156"/>
    <w:rsid w:val="003735E0"/>
    <w:rsid w:val="00373AAE"/>
    <w:rsid w:val="00382E63"/>
    <w:rsid w:val="0038407A"/>
    <w:rsid w:val="0038633E"/>
    <w:rsid w:val="00386CAC"/>
    <w:rsid w:val="00387731"/>
    <w:rsid w:val="00390045"/>
    <w:rsid w:val="003911EC"/>
    <w:rsid w:val="00392F10"/>
    <w:rsid w:val="00397807"/>
    <w:rsid w:val="003A53CD"/>
    <w:rsid w:val="003B01E2"/>
    <w:rsid w:val="003B4012"/>
    <w:rsid w:val="003B5E71"/>
    <w:rsid w:val="003B6465"/>
    <w:rsid w:val="003B6D3B"/>
    <w:rsid w:val="003B6D4B"/>
    <w:rsid w:val="003C0CA2"/>
    <w:rsid w:val="003C4E89"/>
    <w:rsid w:val="003C51CA"/>
    <w:rsid w:val="003C6DB7"/>
    <w:rsid w:val="003D574D"/>
    <w:rsid w:val="003D6644"/>
    <w:rsid w:val="003D6BC1"/>
    <w:rsid w:val="003E192B"/>
    <w:rsid w:val="003E3203"/>
    <w:rsid w:val="003E510A"/>
    <w:rsid w:val="003E5BB7"/>
    <w:rsid w:val="003E6399"/>
    <w:rsid w:val="003E6817"/>
    <w:rsid w:val="003F1556"/>
    <w:rsid w:val="003F1DA7"/>
    <w:rsid w:val="003F2503"/>
    <w:rsid w:val="003F4F8B"/>
    <w:rsid w:val="003F7EE5"/>
    <w:rsid w:val="0040119F"/>
    <w:rsid w:val="00401A81"/>
    <w:rsid w:val="004034FC"/>
    <w:rsid w:val="00404037"/>
    <w:rsid w:val="0040410C"/>
    <w:rsid w:val="0041152D"/>
    <w:rsid w:val="00423701"/>
    <w:rsid w:val="004269A0"/>
    <w:rsid w:val="00435E1F"/>
    <w:rsid w:val="004361F4"/>
    <w:rsid w:val="004446C3"/>
    <w:rsid w:val="00451CAE"/>
    <w:rsid w:val="00455D1D"/>
    <w:rsid w:val="00460D98"/>
    <w:rsid w:val="00464001"/>
    <w:rsid w:val="00471AC3"/>
    <w:rsid w:val="00471CD2"/>
    <w:rsid w:val="00475F9C"/>
    <w:rsid w:val="004817F6"/>
    <w:rsid w:val="00485502"/>
    <w:rsid w:val="00490288"/>
    <w:rsid w:val="0049058F"/>
    <w:rsid w:val="004906AB"/>
    <w:rsid w:val="00491DDE"/>
    <w:rsid w:val="004A31E6"/>
    <w:rsid w:val="004B0AD2"/>
    <w:rsid w:val="004B1E12"/>
    <w:rsid w:val="004C16B2"/>
    <w:rsid w:val="004C23CF"/>
    <w:rsid w:val="004C3543"/>
    <w:rsid w:val="004C4A91"/>
    <w:rsid w:val="004C5508"/>
    <w:rsid w:val="004D639F"/>
    <w:rsid w:val="004D68CE"/>
    <w:rsid w:val="004D6ABD"/>
    <w:rsid w:val="004E4698"/>
    <w:rsid w:val="004E47AA"/>
    <w:rsid w:val="004E6E3E"/>
    <w:rsid w:val="004F4063"/>
    <w:rsid w:val="0050683A"/>
    <w:rsid w:val="00510C6A"/>
    <w:rsid w:val="00516FB5"/>
    <w:rsid w:val="005171AC"/>
    <w:rsid w:val="005173C1"/>
    <w:rsid w:val="00520C67"/>
    <w:rsid w:val="00521C2A"/>
    <w:rsid w:val="005251ED"/>
    <w:rsid w:val="005256F7"/>
    <w:rsid w:val="005274C4"/>
    <w:rsid w:val="0052786D"/>
    <w:rsid w:val="0053044A"/>
    <w:rsid w:val="00542A79"/>
    <w:rsid w:val="00542BE1"/>
    <w:rsid w:val="00543D28"/>
    <w:rsid w:val="0054401F"/>
    <w:rsid w:val="00544F34"/>
    <w:rsid w:val="00547014"/>
    <w:rsid w:val="00550DF2"/>
    <w:rsid w:val="0056122B"/>
    <w:rsid w:val="00567EE0"/>
    <w:rsid w:val="0057078F"/>
    <w:rsid w:val="005730C9"/>
    <w:rsid w:val="00581DF1"/>
    <w:rsid w:val="00582138"/>
    <w:rsid w:val="0058553B"/>
    <w:rsid w:val="00585697"/>
    <w:rsid w:val="00592CC3"/>
    <w:rsid w:val="00594844"/>
    <w:rsid w:val="00595370"/>
    <w:rsid w:val="00596E5F"/>
    <w:rsid w:val="00597341"/>
    <w:rsid w:val="005A77F2"/>
    <w:rsid w:val="005B5F7E"/>
    <w:rsid w:val="005C4921"/>
    <w:rsid w:val="005C79CC"/>
    <w:rsid w:val="005D1F39"/>
    <w:rsid w:val="005D5705"/>
    <w:rsid w:val="005D75A4"/>
    <w:rsid w:val="005E2DB4"/>
    <w:rsid w:val="005E64C0"/>
    <w:rsid w:val="005F2BBB"/>
    <w:rsid w:val="005F48F2"/>
    <w:rsid w:val="005F5198"/>
    <w:rsid w:val="005F7C19"/>
    <w:rsid w:val="00600381"/>
    <w:rsid w:val="00601246"/>
    <w:rsid w:val="00607463"/>
    <w:rsid w:val="00610BF5"/>
    <w:rsid w:val="00612951"/>
    <w:rsid w:val="006129D9"/>
    <w:rsid w:val="00613D9A"/>
    <w:rsid w:val="0061677E"/>
    <w:rsid w:val="00624A09"/>
    <w:rsid w:val="00624BF5"/>
    <w:rsid w:val="006304A6"/>
    <w:rsid w:val="00630CD3"/>
    <w:rsid w:val="00631870"/>
    <w:rsid w:val="006327EA"/>
    <w:rsid w:val="00632F1F"/>
    <w:rsid w:val="00632F9C"/>
    <w:rsid w:val="006339F5"/>
    <w:rsid w:val="006468AB"/>
    <w:rsid w:val="00647E3A"/>
    <w:rsid w:val="006506DC"/>
    <w:rsid w:val="0065230B"/>
    <w:rsid w:val="00652AFE"/>
    <w:rsid w:val="006537D0"/>
    <w:rsid w:val="00663D2E"/>
    <w:rsid w:val="00671647"/>
    <w:rsid w:val="006719CC"/>
    <w:rsid w:val="00673C8F"/>
    <w:rsid w:val="00673F1E"/>
    <w:rsid w:val="00676687"/>
    <w:rsid w:val="0068031C"/>
    <w:rsid w:val="00681A0C"/>
    <w:rsid w:val="00682600"/>
    <w:rsid w:val="0068286E"/>
    <w:rsid w:val="006876B3"/>
    <w:rsid w:val="006912E1"/>
    <w:rsid w:val="00692C15"/>
    <w:rsid w:val="00694129"/>
    <w:rsid w:val="006A2085"/>
    <w:rsid w:val="006A4560"/>
    <w:rsid w:val="006A4EC1"/>
    <w:rsid w:val="006A5575"/>
    <w:rsid w:val="006B1BC7"/>
    <w:rsid w:val="006B7F45"/>
    <w:rsid w:val="006C05D2"/>
    <w:rsid w:val="006C3232"/>
    <w:rsid w:val="006C5F8A"/>
    <w:rsid w:val="006D0A05"/>
    <w:rsid w:val="006D22AB"/>
    <w:rsid w:val="006D562C"/>
    <w:rsid w:val="006F2270"/>
    <w:rsid w:val="00701B02"/>
    <w:rsid w:val="0070331B"/>
    <w:rsid w:val="0070468E"/>
    <w:rsid w:val="00704764"/>
    <w:rsid w:val="00705469"/>
    <w:rsid w:val="0070677B"/>
    <w:rsid w:val="00712321"/>
    <w:rsid w:val="00717031"/>
    <w:rsid w:val="007171E7"/>
    <w:rsid w:val="0072177A"/>
    <w:rsid w:val="00721C58"/>
    <w:rsid w:val="00724731"/>
    <w:rsid w:val="00734A8D"/>
    <w:rsid w:val="00735E3E"/>
    <w:rsid w:val="00735F2D"/>
    <w:rsid w:val="0074541F"/>
    <w:rsid w:val="007457CA"/>
    <w:rsid w:val="00746F75"/>
    <w:rsid w:val="00762367"/>
    <w:rsid w:val="00763645"/>
    <w:rsid w:val="0076376C"/>
    <w:rsid w:val="007670D3"/>
    <w:rsid w:val="00767980"/>
    <w:rsid w:val="00770D7C"/>
    <w:rsid w:val="0077295B"/>
    <w:rsid w:val="0078266D"/>
    <w:rsid w:val="0078278E"/>
    <w:rsid w:val="0079223E"/>
    <w:rsid w:val="00793B52"/>
    <w:rsid w:val="007A1DF4"/>
    <w:rsid w:val="007A467F"/>
    <w:rsid w:val="007A7A3D"/>
    <w:rsid w:val="007B6E80"/>
    <w:rsid w:val="007C05A7"/>
    <w:rsid w:val="007D245A"/>
    <w:rsid w:val="007D2F67"/>
    <w:rsid w:val="007D6099"/>
    <w:rsid w:val="007E060B"/>
    <w:rsid w:val="007E12D4"/>
    <w:rsid w:val="007E1F62"/>
    <w:rsid w:val="007E7909"/>
    <w:rsid w:val="007E7D33"/>
    <w:rsid w:val="007F3461"/>
    <w:rsid w:val="007F3DD8"/>
    <w:rsid w:val="007F650A"/>
    <w:rsid w:val="007F6704"/>
    <w:rsid w:val="007F7249"/>
    <w:rsid w:val="008038B0"/>
    <w:rsid w:val="0081483C"/>
    <w:rsid w:val="0081578F"/>
    <w:rsid w:val="00821A44"/>
    <w:rsid w:val="0082231E"/>
    <w:rsid w:val="008255ED"/>
    <w:rsid w:val="008267BC"/>
    <w:rsid w:val="008272BC"/>
    <w:rsid w:val="00827E51"/>
    <w:rsid w:val="00840875"/>
    <w:rsid w:val="008434DA"/>
    <w:rsid w:val="008459F5"/>
    <w:rsid w:val="00852EA3"/>
    <w:rsid w:val="00853A27"/>
    <w:rsid w:val="008628DA"/>
    <w:rsid w:val="00874576"/>
    <w:rsid w:val="008810CE"/>
    <w:rsid w:val="00883740"/>
    <w:rsid w:val="00884C6C"/>
    <w:rsid w:val="008920C7"/>
    <w:rsid w:val="008A06EB"/>
    <w:rsid w:val="008A17E2"/>
    <w:rsid w:val="008A48F7"/>
    <w:rsid w:val="008A4DCD"/>
    <w:rsid w:val="008A7009"/>
    <w:rsid w:val="008B0951"/>
    <w:rsid w:val="008C0367"/>
    <w:rsid w:val="008C3754"/>
    <w:rsid w:val="008C5F53"/>
    <w:rsid w:val="008D084B"/>
    <w:rsid w:val="008D14E5"/>
    <w:rsid w:val="008D1876"/>
    <w:rsid w:val="008D4B44"/>
    <w:rsid w:val="008E0058"/>
    <w:rsid w:val="008E0675"/>
    <w:rsid w:val="008E220C"/>
    <w:rsid w:val="008E2874"/>
    <w:rsid w:val="008E538E"/>
    <w:rsid w:val="008F1A04"/>
    <w:rsid w:val="008F2B75"/>
    <w:rsid w:val="008F662E"/>
    <w:rsid w:val="008F7428"/>
    <w:rsid w:val="0090516D"/>
    <w:rsid w:val="009069E9"/>
    <w:rsid w:val="00907882"/>
    <w:rsid w:val="009146D1"/>
    <w:rsid w:val="00915482"/>
    <w:rsid w:val="009206DC"/>
    <w:rsid w:val="00923378"/>
    <w:rsid w:val="0092359F"/>
    <w:rsid w:val="00924D27"/>
    <w:rsid w:val="0092640C"/>
    <w:rsid w:val="00936250"/>
    <w:rsid w:val="00945708"/>
    <w:rsid w:val="009464F7"/>
    <w:rsid w:val="00950BA3"/>
    <w:rsid w:val="00954C7C"/>
    <w:rsid w:val="00955B12"/>
    <w:rsid w:val="0095612F"/>
    <w:rsid w:val="00956195"/>
    <w:rsid w:val="00960311"/>
    <w:rsid w:val="00962289"/>
    <w:rsid w:val="0096382D"/>
    <w:rsid w:val="00965EF5"/>
    <w:rsid w:val="00970C2E"/>
    <w:rsid w:val="0097327B"/>
    <w:rsid w:val="009810EE"/>
    <w:rsid w:val="00982DAE"/>
    <w:rsid w:val="009831DE"/>
    <w:rsid w:val="00985C8E"/>
    <w:rsid w:val="00986AB0"/>
    <w:rsid w:val="00987586"/>
    <w:rsid w:val="009878D5"/>
    <w:rsid w:val="0099050E"/>
    <w:rsid w:val="0099086A"/>
    <w:rsid w:val="00991573"/>
    <w:rsid w:val="009940BD"/>
    <w:rsid w:val="00994B61"/>
    <w:rsid w:val="009A2577"/>
    <w:rsid w:val="009A3BBE"/>
    <w:rsid w:val="009B46A9"/>
    <w:rsid w:val="009C1C2F"/>
    <w:rsid w:val="009C6672"/>
    <w:rsid w:val="009C6945"/>
    <w:rsid w:val="009D20AE"/>
    <w:rsid w:val="009D6957"/>
    <w:rsid w:val="009D7541"/>
    <w:rsid w:val="009E0CD3"/>
    <w:rsid w:val="009E1CC3"/>
    <w:rsid w:val="009E2C49"/>
    <w:rsid w:val="009E2DFA"/>
    <w:rsid w:val="009E4DC7"/>
    <w:rsid w:val="009E4E4F"/>
    <w:rsid w:val="009F17CD"/>
    <w:rsid w:val="009F63F2"/>
    <w:rsid w:val="009F6D9F"/>
    <w:rsid w:val="009F7C46"/>
    <w:rsid w:val="009F7EB9"/>
    <w:rsid w:val="00A0300F"/>
    <w:rsid w:val="00A07922"/>
    <w:rsid w:val="00A11747"/>
    <w:rsid w:val="00A12453"/>
    <w:rsid w:val="00A13AA8"/>
    <w:rsid w:val="00A153E9"/>
    <w:rsid w:val="00A202B7"/>
    <w:rsid w:val="00A21067"/>
    <w:rsid w:val="00A219C3"/>
    <w:rsid w:val="00A246A3"/>
    <w:rsid w:val="00A274B9"/>
    <w:rsid w:val="00A34710"/>
    <w:rsid w:val="00A34F8C"/>
    <w:rsid w:val="00A36AFE"/>
    <w:rsid w:val="00A37ED1"/>
    <w:rsid w:val="00A40A67"/>
    <w:rsid w:val="00A41E90"/>
    <w:rsid w:val="00A44C0B"/>
    <w:rsid w:val="00A517CB"/>
    <w:rsid w:val="00A51927"/>
    <w:rsid w:val="00A532B0"/>
    <w:rsid w:val="00A535AB"/>
    <w:rsid w:val="00A57D7A"/>
    <w:rsid w:val="00A6329E"/>
    <w:rsid w:val="00A63AB1"/>
    <w:rsid w:val="00A63E33"/>
    <w:rsid w:val="00A642A3"/>
    <w:rsid w:val="00A64DE9"/>
    <w:rsid w:val="00A72DCA"/>
    <w:rsid w:val="00A75A9E"/>
    <w:rsid w:val="00A77350"/>
    <w:rsid w:val="00A77757"/>
    <w:rsid w:val="00A77A59"/>
    <w:rsid w:val="00A815FB"/>
    <w:rsid w:val="00A820DB"/>
    <w:rsid w:val="00A8662A"/>
    <w:rsid w:val="00A87EDC"/>
    <w:rsid w:val="00A956C0"/>
    <w:rsid w:val="00AA0374"/>
    <w:rsid w:val="00AA2A2B"/>
    <w:rsid w:val="00AA328A"/>
    <w:rsid w:val="00AA79AE"/>
    <w:rsid w:val="00AB268E"/>
    <w:rsid w:val="00AB490A"/>
    <w:rsid w:val="00AC0030"/>
    <w:rsid w:val="00AC0B81"/>
    <w:rsid w:val="00AC6827"/>
    <w:rsid w:val="00AD3984"/>
    <w:rsid w:val="00AD7F89"/>
    <w:rsid w:val="00AE6066"/>
    <w:rsid w:val="00AE6BD1"/>
    <w:rsid w:val="00AE6CDF"/>
    <w:rsid w:val="00AE7386"/>
    <w:rsid w:val="00AE759F"/>
    <w:rsid w:val="00AF2EBC"/>
    <w:rsid w:val="00AF62D5"/>
    <w:rsid w:val="00AF7E2F"/>
    <w:rsid w:val="00B0438E"/>
    <w:rsid w:val="00B06246"/>
    <w:rsid w:val="00B14AE1"/>
    <w:rsid w:val="00B243D3"/>
    <w:rsid w:val="00B26C24"/>
    <w:rsid w:val="00B314E7"/>
    <w:rsid w:val="00B33E08"/>
    <w:rsid w:val="00B34D40"/>
    <w:rsid w:val="00B40873"/>
    <w:rsid w:val="00B432EF"/>
    <w:rsid w:val="00B43B79"/>
    <w:rsid w:val="00B46770"/>
    <w:rsid w:val="00B46D07"/>
    <w:rsid w:val="00B46D77"/>
    <w:rsid w:val="00B470A7"/>
    <w:rsid w:val="00B50E7C"/>
    <w:rsid w:val="00B53622"/>
    <w:rsid w:val="00B550EA"/>
    <w:rsid w:val="00B56030"/>
    <w:rsid w:val="00B561E3"/>
    <w:rsid w:val="00B61B3C"/>
    <w:rsid w:val="00B631FC"/>
    <w:rsid w:val="00B64283"/>
    <w:rsid w:val="00B67BA7"/>
    <w:rsid w:val="00B708B8"/>
    <w:rsid w:val="00B75327"/>
    <w:rsid w:val="00B75A81"/>
    <w:rsid w:val="00B776B6"/>
    <w:rsid w:val="00B8040D"/>
    <w:rsid w:val="00B81BAF"/>
    <w:rsid w:val="00B9228A"/>
    <w:rsid w:val="00B97C04"/>
    <w:rsid w:val="00BA13C8"/>
    <w:rsid w:val="00BB0E90"/>
    <w:rsid w:val="00BB4513"/>
    <w:rsid w:val="00BB5EE1"/>
    <w:rsid w:val="00BB77CD"/>
    <w:rsid w:val="00BC0624"/>
    <w:rsid w:val="00BC3C06"/>
    <w:rsid w:val="00BC51B5"/>
    <w:rsid w:val="00BC6630"/>
    <w:rsid w:val="00BD0506"/>
    <w:rsid w:val="00BD7A84"/>
    <w:rsid w:val="00BE3347"/>
    <w:rsid w:val="00BE3D43"/>
    <w:rsid w:val="00BE6ECF"/>
    <w:rsid w:val="00BE7C3F"/>
    <w:rsid w:val="00BF3574"/>
    <w:rsid w:val="00BF4DAC"/>
    <w:rsid w:val="00BF6CE1"/>
    <w:rsid w:val="00C04048"/>
    <w:rsid w:val="00C04147"/>
    <w:rsid w:val="00C06671"/>
    <w:rsid w:val="00C149EB"/>
    <w:rsid w:val="00C15585"/>
    <w:rsid w:val="00C17680"/>
    <w:rsid w:val="00C24435"/>
    <w:rsid w:val="00C33FB5"/>
    <w:rsid w:val="00C35C35"/>
    <w:rsid w:val="00C42C0D"/>
    <w:rsid w:val="00C447BB"/>
    <w:rsid w:val="00C604C8"/>
    <w:rsid w:val="00C60D87"/>
    <w:rsid w:val="00C614EB"/>
    <w:rsid w:val="00C66641"/>
    <w:rsid w:val="00C678F3"/>
    <w:rsid w:val="00C70167"/>
    <w:rsid w:val="00C707BC"/>
    <w:rsid w:val="00C74192"/>
    <w:rsid w:val="00C83F1F"/>
    <w:rsid w:val="00C84F4E"/>
    <w:rsid w:val="00C85FFF"/>
    <w:rsid w:val="00C86655"/>
    <w:rsid w:val="00C92764"/>
    <w:rsid w:val="00C93BB7"/>
    <w:rsid w:val="00C94544"/>
    <w:rsid w:val="00C971D1"/>
    <w:rsid w:val="00C97445"/>
    <w:rsid w:val="00CA13B8"/>
    <w:rsid w:val="00CA261D"/>
    <w:rsid w:val="00CA35EC"/>
    <w:rsid w:val="00CA391C"/>
    <w:rsid w:val="00CA5A28"/>
    <w:rsid w:val="00CA61E8"/>
    <w:rsid w:val="00CC01F4"/>
    <w:rsid w:val="00CC1666"/>
    <w:rsid w:val="00CC2F60"/>
    <w:rsid w:val="00CC4E04"/>
    <w:rsid w:val="00CD0868"/>
    <w:rsid w:val="00CD16AB"/>
    <w:rsid w:val="00CD2137"/>
    <w:rsid w:val="00CD2C32"/>
    <w:rsid w:val="00CD3E14"/>
    <w:rsid w:val="00CD49B3"/>
    <w:rsid w:val="00CD5995"/>
    <w:rsid w:val="00CD5B4C"/>
    <w:rsid w:val="00CD7609"/>
    <w:rsid w:val="00CD791C"/>
    <w:rsid w:val="00CD7CB2"/>
    <w:rsid w:val="00CE556E"/>
    <w:rsid w:val="00CE607C"/>
    <w:rsid w:val="00CE6BDF"/>
    <w:rsid w:val="00CF7FCC"/>
    <w:rsid w:val="00D02468"/>
    <w:rsid w:val="00D16F44"/>
    <w:rsid w:val="00D20A91"/>
    <w:rsid w:val="00D25501"/>
    <w:rsid w:val="00D32666"/>
    <w:rsid w:val="00D36BB5"/>
    <w:rsid w:val="00D5075B"/>
    <w:rsid w:val="00D51DE3"/>
    <w:rsid w:val="00D5367F"/>
    <w:rsid w:val="00D53ED8"/>
    <w:rsid w:val="00D56075"/>
    <w:rsid w:val="00D60C67"/>
    <w:rsid w:val="00D64B2D"/>
    <w:rsid w:val="00D66F9E"/>
    <w:rsid w:val="00D67D1C"/>
    <w:rsid w:val="00D7058D"/>
    <w:rsid w:val="00D737AF"/>
    <w:rsid w:val="00D747BE"/>
    <w:rsid w:val="00D775EF"/>
    <w:rsid w:val="00D847F3"/>
    <w:rsid w:val="00D84F11"/>
    <w:rsid w:val="00D91D20"/>
    <w:rsid w:val="00DA1119"/>
    <w:rsid w:val="00DA2BDD"/>
    <w:rsid w:val="00DA4835"/>
    <w:rsid w:val="00DA5988"/>
    <w:rsid w:val="00DA6548"/>
    <w:rsid w:val="00DA7AC9"/>
    <w:rsid w:val="00DB4E82"/>
    <w:rsid w:val="00DB5A44"/>
    <w:rsid w:val="00DB5B4F"/>
    <w:rsid w:val="00DB6B0F"/>
    <w:rsid w:val="00DB754C"/>
    <w:rsid w:val="00DC0F5D"/>
    <w:rsid w:val="00DC1022"/>
    <w:rsid w:val="00DC7156"/>
    <w:rsid w:val="00DD3F42"/>
    <w:rsid w:val="00DD621E"/>
    <w:rsid w:val="00DE07D5"/>
    <w:rsid w:val="00DE0C51"/>
    <w:rsid w:val="00DE28AE"/>
    <w:rsid w:val="00DE5FE7"/>
    <w:rsid w:val="00DE787E"/>
    <w:rsid w:val="00DF11B5"/>
    <w:rsid w:val="00DF367D"/>
    <w:rsid w:val="00DF38B0"/>
    <w:rsid w:val="00DF427C"/>
    <w:rsid w:val="00E02BA2"/>
    <w:rsid w:val="00E02F7C"/>
    <w:rsid w:val="00E07112"/>
    <w:rsid w:val="00E108E4"/>
    <w:rsid w:val="00E15F5E"/>
    <w:rsid w:val="00E17865"/>
    <w:rsid w:val="00E2034F"/>
    <w:rsid w:val="00E24F52"/>
    <w:rsid w:val="00E25DEB"/>
    <w:rsid w:val="00E267A5"/>
    <w:rsid w:val="00E2773F"/>
    <w:rsid w:val="00E3187D"/>
    <w:rsid w:val="00E32C94"/>
    <w:rsid w:val="00E32EDF"/>
    <w:rsid w:val="00E369C0"/>
    <w:rsid w:val="00E36D12"/>
    <w:rsid w:val="00E43528"/>
    <w:rsid w:val="00E469DA"/>
    <w:rsid w:val="00E4769C"/>
    <w:rsid w:val="00E47DCF"/>
    <w:rsid w:val="00E526DD"/>
    <w:rsid w:val="00E53F6F"/>
    <w:rsid w:val="00E54FB5"/>
    <w:rsid w:val="00E55BAE"/>
    <w:rsid w:val="00E60838"/>
    <w:rsid w:val="00E60E72"/>
    <w:rsid w:val="00E61171"/>
    <w:rsid w:val="00E65D2A"/>
    <w:rsid w:val="00E661B8"/>
    <w:rsid w:val="00E67D89"/>
    <w:rsid w:val="00E71A83"/>
    <w:rsid w:val="00E72119"/>
    <w:rsid w:val="00E770EF"/>
    <w:rsid w:val="00E83BE1"/>
    <w:rsid w:val="00E849D1"/>
    <w:rsid w:val="00E872DC"/>
    <w:rsid w:val="00E874D7"/>
    <w:rsid w:val="00E87EFC"/>
    <w:rsid w:val="00E91670"/>
    <w:rsid w:val="00E92A08"/>
    <w:rsid w:val="00E92A3E"/>
    <w:rsid w:val="00E92ED2"/>
    <w:rsid w:val="00E942C1"/>
    <w:rsid w:val="00E948BE"/>
    <w:rsid w:val="00E94F0A"/>
    <w:rsid w:val="00E9660D"/>
    <w:rsid w:val="00E96703"/>
    <w:rsid w:val="00E967AB"/>
    <w:rsid w:val="00E9687E"/>
    <w:rsid w:val="00EA3A6E"/>
    <w:rsid w:val="00EA3AC2"/>
    <w:rsid w:val="00EA52BB"/>
    <w:rsid w:val="00EA6670"/>
    <w:rsid w:val="00EA701E"/>
    <w:rsid w:val="00EB03DF"/>
    <w:rsid w:val="00EB3EFB"/>
    <w:rsid w:val="00EB5212"/>
    <w:rsid w:val="00EB6E62"/>
    <w:rsid w:val="00EB7BAB"/>
    <w:rsid w:val="00EC5DD1"/>
    <w:rsid w:val="00ED53AA"/>
    <w:rsid w:val="00EE1320"/>
    <w:rsid w:val="00EE6410"/>
    <w:rsid w:val="00EE7860"/>
    <w:rsid w:val="00EF081C"/>
    <w:rsid w:val="00EF492B"/>
    <w:rsid w:val="00F02E74"/>
    <w:rsid w:val="00F03F85"/>
    <w:rsid w:val="00F05B98"/>
    <w:rsid w:val="00F11286"/>
    <w:rsid w:val="00F22D53"/>
    <w:rsid w:val="00F325F3"/>
    <w:rsid w:val="00F33167"/>
    <w:rsid w:val="00F33B54"/>
    <w:rsid w:val="00F34D41"/>
    <w:rsid w:val="00F37E8A"/>
    <w:rsid w:val="00F41170"/>
    <w:rsid w:val="00F41AC8"/>
    <w:rsid w:val="00F43106"/>
    <w:rsid w:val="00F43F0A"/>
    <w:rsid w:val="00F5116B"/>
    <w:rsid w:val="00F52CAD"/>
    <w:rsid w:val="00F56C3C"/>
    <w:rsid w:val="00F57156"/>
    <w:rsid w:val="00F5735C"/>
    <w:rsid w:val="00F647B6"/>
    <w:rsid w:val="00F64EF6"/>
    <w:rsid w:val="00F711D7"/>
    <w:rsid w:val="00F71B95"/>
    <w:rsid w:val="00F750BD"/>
    <w:rsid w:val="00F766E7"/>
    <w:rsid w:val="00F7689E"/>
    <w:rsid w:val="00F77963"/>
    <w:rsid w:val="00F84E56"/>
    <w:rsid w:val="00F9066D"/>
    <w:rsid w:val="00F907D2"/>
    <w:rsid w:val="00F91D56"/>
    <w:rsid w:val="00F93BBD"/>
    <w:rsid w:val="00FA2D99"/>
    <w:rsid w:val="00FA409B"/>
    <w:rsid w:val="00FA5B5A"/>
    <w:rsid w:val="00FA5D34"/>
    <w:rsid w:val="00FA6C5B"/>
    <w:rsid w:val="00FB2C88"/>
    <w:rsid w:val="00FB729B"/>
    <w:rsid w:val="00FB7AAA"/>
    <w:rsid w:val="00FC0692"/>
    <w:rsid w:val="00FC31C9"/>
    <w:rsid w:val="00FC3408"/>
    <w:rsid w:val="00FC5AC9"/>
    <w:rsid w:val="00FD024A"/>
    <w:rsid w:val="00FD2A13"/>
    <w:rsid w:val="00FD3B59"/>
    <w:rsid w:val="00FF0B90"/>
    <w:rsid w:val="00FF2B41"/>
    <w:rsid w:val="00FF5D4C"/>
    <w:rsid w:val="00FF61D7"/>
    <w:rsid w:val="00FF68AC"/>
    <w:rsid w:val="00FF695B"/>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C1"/>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ST Table,Check(v),Table-Text,x Tableau page de garde"/>
    <w:basedOn w:val="TableNormal"/>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aintext">
    <w:name w:val="main text"/>
    <w:basedOn w:val="Normal"/>
    <w:link w:val="maintextChar"/>
    <w:qFormat/>
    <w:rsid w:val="000F0138"/>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0F0138"/>
    <w:rPr>
      <w:rFonts w:ascii="Times New Roman" w:eastAsia="Malgun Gothic" w:hAnsi="Times New Roman" w:cs="Batang"/>
      <w:sz w:val="20"/>
      <w:szCs w:val="20"/>
      <w:lang w:val="en-GB" w:eastAsia="ko-KR"/>
    </w:rPr>
  </w:style>
  <w:style w:type="paragraph" w:customStyle="1" w:styleId="TAN">
    <w:name w:val="TAN"/>
    <w:basedOn w:val="TAL"/>
    <w:link w:val="TANChar"/>
    <w:qFormat/>
    <w:rsid w:val="000F0138"/>
    <w:pPr>
      <w:ind w:left="851" w:hanging="851"/>
      <w:textAlignment w:val="baseline"/>
    </w:pPr>
    <w:rPr>
      <w:rFonts w:cs="Times New Roman"/>
      <w:szCs w:val="20"/>
    </w:rPr>
  </w:style>
  <w:style w:type="character" w:customStyle="1" w:styleId="TANChar">
    <w:name w:val="TAN Char"/>
    <w:link w:val="TAN"/>
    <w:rsid w:val="000F0138"/>
    <w:rPr>
      <w:rFonts w:ascii="Arial" w:eastAsia="Times New Roman" w:hAnsi="Arial" w:cs="Times New Roman"/>
      <w:sz w:val="18"/>
      <w:szCs w:val="20"/>
      <w:lang w:val="en-GB" w:eastAsia="ja-JP"/>
    </w:rPr>
  </w:style>
  <w:style w:type="character" w:customStyle="1" w:styleId="ui-provider">
    <w:name w:val="ui-provider"/>
    <w:basedOn w:val="DefaultParagraphFont"/>
    <w:rsid w:val="007A1DF4"/>
  </w:style>
  <w:style w:type="paragraph" w:customStyle="1" w:styleId="Doc-text2">
    <w:name w:val="Doc-text2"/>
    <w:basedOn w:val="Normal"/>
    <w:link w:val="Doc-text2Char"/>
    <w:qFormat/>
    <w:rsid w:val="003E510A"/>
    <w:pPr>
      <w:tabs>
        <w:tab w:val="left" w:pos="1622"/>
      </w:tabs>
      <w:overflowPunct w:val="0"/>
      <w:autoSpaceDE w:val="0"/>
      <w:autoSpaceDN w:val="0"/>
      <w:adjustRightInd w:val="0"/>
      <w:ind w:left="1622" w:hanging="363"/>
      <w:textAlignment w:val="baseline"/>
    </w:pPr>
    <w:rPr>
      <w:rFonts w:ascii="Arial" w:eastAsia="Times New Roman" w:hAnsi="Arial"/>
      <w:sz w:val="20"/>
    </w:rPr>
  </w:style>
  <w:style w:type="character" w:customStyle="1" w:styleId="Doc-text2Char">
    <w:name w:val="Doc-text2 Char"/>
    <w:link w:val="Doc-text2"/>
    <w:qFormat/>
    <w:rsid w:val="003E510A"/>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16666378">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65611497">
      <w:bodyDiv w:val="1"/>
      <w:marLeft w:val="0"/>
      <w:marRight w:val="0"/>
      <w:marTop w:val="0"/>
      <w:marBottom w:val="0"/>
      <w:divBdr>
        <w:top w:val="none" w:sz="0" w:space="0" w:color="auto"/>
        <w:left w:val="none" w:sz="0" w:space="0" w:color="auto"/>
        <w:bottom w:val="none" w:sz="0" w:space="0" w:color="auto"/>
        <w:right w:val="none" w:sz="0" w:space="0" w:color="auto"/>
      </w:divBdr>
    </w:div>
    <w:div w:id="6619279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7096089">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85657738">
      <w:bodyDiv w:val="1"/>
      <w:marLeft w:val="0"/>
      <w:marRight w:val="0"/>
      <w:marTop w:val="0"/>
      <w:marBottom w:val="0"/>
      <w:divBdr>
        <w:top w:val="none" w:sz="0" w:space="0" w:color="auto"/>
        <w:left w:val="none" w:sz="0" w:space="0" w:color="auto"/>
        <w:bottom w:val="none" w:sz="0" w:space="0" w:color="auto"/>
        <w:right w:val="none" w:sz="0" w:space="0" w:color="auto"/>
      </w:divBdr>
    </w:div>
    <w:div w:id="101262963">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22698728">
      <w:bodyDiv w:val="1"/>
      <w:marLeft w:val="0"/>
      <w:marRight w:val="0"/>
      <w:marTop w:val="0"/>
      <w:marBottom w:val="0"/>
      <w:divBdr>
        <w:top w:val="none" w:sz="0" w:space="0" w:color="auto"/>
        <w:left w:val="none" w:sz="0" w:space="0" w:color="auto"/>
        <w:bottom w:val="none" w:sz="0" w:space="0" w:color="auto"/>
        <w:right w:val="none" w:sz="0" w:space="0" w:color="auto"/>
      </w:divBdr>
    </w:div>
    <w:div w:id="126971937">
      <w:bodyDiv w:val="1"/>
      <w:marLeft w:val="0"/>
      <w:marRight w:val="0"/>
      <w:marTop w:val="0"/>
      <w:marBottom w:val="0"/>
      <w:divBdr>
        <w:top w:val="none" w:sz="0" w:space="0" w:color="auto"/>
        <w:left w:val="none" w:sz="0" w:space="0" w:color="auto"/>
        <w:bottom w:val="none" w:sz="0" w:space="0" w:color="auto"/>
        <w:right w:val="none" w:sz="0" w:space="0" w:color="auto"/>
      </w:divBdr>
    </w:div>
    <w:div w:id="132021858">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46672751">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3564351">
      <w:bodyDiv w:val="1"/>
      <w:marLeft w:val="0"/>
      <w:marRight w:val="0"/>
      <w:marTop w:val="0"/>
      <w:marBottom w:val="0"/>
      <w:divBdr>
        <w:top w:val="none" w:sz="0" w:space="0" w:color="auto"/>
        <w:left w:val="none" w:sz="0" w:space="0" w:color="auto"/>
        <w:bottom w:val="none" w:sz="0" w:space="0" w:color="auto"/>
        <w:right w:val="none" w:sz="0" w:space="0" w:color="auto"/>
      </w:divBdr>
    </w:div>
    <w:div w:id="207225742">
      <w:bodyDiv w:val="1"/>
      <w:marLeft w:val="0"/>
      <w:marRight w:val="0"/>
      <w:marTop w:val="0"/>
      <w:marBottom w:val="0"/>
      <w:divBdr>
        <w:top w:val="none" w:sz="0" w:space="0" w:color="auto"/>
        <w:left w:val="none" w:sz="0" w:space="0" w:color="auto"/>
        <w:bottom w:val="none" w:sz="0" w:space="0" w:color="auto"/>
        <w:right w:val="none" w:sz="0" w:space="0" w:color="auto"/>
      </w:divBdr>
    </w:div>
    <w:div w:id="229386350">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35209804">
      <w:bodyDiv w:val="1"/>
      <w:marLeft w:val="0"/>
      <w:marRight w:val="0"/>
      <w:marTop w:val="0"/>
      <w:marBottom w:val="0"/>
      <w:divBdr>
        <w:top w:val="none" w:sz="0" w:space="0" w:color="auto"/>
        <w:left w:val="none" w:sz="0" w:space="0" w:color="auto"/>
        <w:bottom w:val="none" w:sz="0" w:space="0" w:color="auto"/>
        <w:right w:val="none" w:sz="0" w:space="0" w:color="auto"/>
      </w:divBdr>
    </w:div>
    <w:div w:id="248584351">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299267459">
      <w:bodyDiv w:val="1"/>
      <w:marLeft w:val="0"/>
      <w:marRight w:val="0"/>
      <w:marTop w:val="0"/>
      <w:marBottom w:val="0"/>
      <w:divBdr>
        <w:top w:val="none" w:sz="0" w:space="0" w:color="auto"/>
        <w:left w:val="none" w:sz="0" w:space="0" w:color="auto"/>
        <w:bottom w:val="none" w:sz="0" w:space="0" w:color="auto"/>
        <w:right w:val="none" w:sz="0" w:space="0" w:color="auto"/>
      </w:divBdr>
    </w:div>
    <w:div w:id="302854724">
      <w:bodyDiv w:val="1"/>
      <w:marLeft w:val="0"/>
      <w:marRight w:val="0"/>
      <w:marTop w:val="0"/>
      <w:marBottom w:val="0"/>
      <w:divBdr>
        <w:top w:val="none" w:sz="0" w:space="0" w:color="auto"/>
        <w:left w:val="none" w:sz="0" w:space="0" w:color="auto"/>
        <w:bottom w:val="none" w:sz="0" w:space="0" w:color="auto"/>
        <w:right w:val="none" w:sz="0" w:space="0" w:color="auto"/>
      </w:divBdr>
    </w:div>
    <w:div w:id="306201256">
      <w:bodyDiv w:val="1"/>
      <w:marLeft w:val="0"/>
      <w:marRight w:val="0"/>
      <w:marTop w:val="0"/>
      <w:marBottom w:val="0"/>
      <w:divBdr>
        <w:top w:val="none" w:sz="0" w:space="0" w:color="auto"/>
        <w:left w:val="none" w:sz="0" w:space="0" w:color="auto"/>
        <w:bottom w:val="none" w:sz="0" w:space="0" w:color="auto"/>
        <w:right w:val="none" w:sz="0" w:space="0" w:color="auto"/>
      </w:divBdr>
    </w:div>
    <w:div w:id="306319633">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16156256">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25936996">
      <w:bodyDiv w:val="1"/>
      <w:marLeft w:val="0"/>
      <w:marRight w:val="0"/>
      <w:marTop w:val="0"/>
      <w:marBottom w:val="0"/>
      <w:divBdr>
        <w:top w:val="none" w:sz="0" w:space="0" w:color="auto"/>
        <w:left w:val="none" w:sz="0" w:space="0" w:color="auto"/>
        <w:bottom w:val="none" w:sz="0" w:space="0" w:color="auto"/>
        <w:right w:val="none" w:sz="0" w:space="0" w:color="auto"/>
      </w:divBdr>
    </w:div>
    <w:div w:id="331956757">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542">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376123412">
      <w:bodyDiv w:val="1"/>
      <w:marLeft w:val="0"/>
      <w:marRight w:val="0"/>
      <w:marTop w:val="0"/>
      <w:marBottom w:val="0"/>
      <w:divBdr>
        <w:top w:val="none" w:sz="0" w:space="0" w:color="auto"/>
        <w:left w:val="none" w:sz="0" w:space="0" w:color="auto"/>
        <w:bottom w:val="none" w:sz="0" w:space="0" w:color="auto"/>
        <w:right w:val="none" w:sz="0" w:space="0" w:color="auto"/>
      </w:divBdr>
    </w:div>
    <w:div w:id="402411478">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1414577">
      <w:bodyDiv w:val="1"/>
      <w:marLeft w:val="0"/>
      <w:marRight w:val="0"/>
      <w:marTop w:val="0"/>
      <w:marBottom w:val="0"/>
      <w:divBdr>
        <w:top w:val="none" w:sz="0" w:space="0" w:color="auto"/>
        <w:left w:val="none" w:sz="0" w:space="0" w:color="auto"/>
        <w:bottom w:val="none" w:sz="0" w:space="0" w:color="auto"/>
        <w:right w:val="none" w:sz="0" w:space="0" w:color="auto"/>
      </w:divBdr>
    </w:div>
    <w:div w:id="442578035">
      <w:bodyDiv w:val="1"/>
      <w:marLeft w:val="0"/>
      <w:marRight w:val="0"/>
      <w:marTop w:val="0"/>
      <w:marBottom w:val="0"/>
      <w:divBdr>
        <w:top w:val="none" w:sz="0" w:space="0" w:color="auto"/>
        <w:left w:val="none" w:sz="0" w:space="0" w:color="auto"/>
        <w:bottom w:val="none" w:sz="0" w:space="0" w:color="auto"/>
        <w:right w:val="none" w:sz="0" w:space="0" w:color="auto"/>
      </w:divBdr>
    </w:div>
    <w:div w:id="443579058">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49589247">
      <w:bodyDiv w:val="1"/>
      <w:marLeft w:val="0"/>
      <w:marRight w:val="0"/>
      <w:marTop w:val="0"/>
      <w:marBottom w:val="0"/>
      <w:divBdr>
        <w:top w:val="none" w:sz="0" w:space="0" w:color="auto"/>
        <w:left w:val="none" w:sz="0" w:space="0" w:color="auto"/>
        <w:bottom w:val="none" w:sz="0" w:space="0" w:color="auto"/>
        <w:right w:val="none" w:sz="0" w:space="0" w:color="auto"/>
      </w:divBdr>
    </w:div>
    <w:div w:id="456602764">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1628651">
      <w:bodyDiv w:val="1"/>
      <w:marLeft w:val="0"/>
      <w:marRight w:val="0"/>
      <w:marTop w:val="0"/>
      <w:marBottom w:val="0"/>
      <w:divBdr>
        <w:top w:val="none" w:sz="0" w:space="0" w:color="auto"/>
        <w:left w:val="none" w:sz="0" w:space="0" w:color="auto"/>
        <w:bottom w:val="none" w:sz="0" w:space="0" w:color="auto"/>
        <w:right w:val="none" w:sz="0" w:space="0" w:color="auto"/>
      </w:divBdr>
    </w:div>
    <w:div w:id="487475244">
      <w:bodyDiv w:val="1"/>
      <w:marLeft w:val="0"/>
      <w:marRight w:val="0"/>
      <w:marTop w:val="0"/>
      <w:marBottom w:val="0"/>
      <w:divBdr>
        <w:top w:val="none" w:sz="0" w:space="0" w:color="auto"/>
        <w:left w:val="none" w:sz="0" w:space="0" w:color="auto"/>
        <w:bottom w:val="none" w:sz="0" w:space="0" w:color="auto"/>
        <w:right w:val="none" w:sz="0" w:space="0" w:color="auto"/>
      </w:divBdr>
    </w:div>
    <w:div w:id="493839490">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4827436">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10919324">
      <w:bodyDiv w:val="1"/>
      <w:marLeft w:val="0"/>
      <w:marRight w:val="0"/>
      <w:marTop w:val="0"/>
      <w:marBottom w:val="0"/>
      <w:divBdr>
        <w:top w:val="none" w:sz="0" w:space="0" w:color="auto"/>
        <w:left w:val="none" w:sz="0" w:space="0" w:color="auto"/>
        <w:bottom w:val="none" w:sz="0" w:space="0" w:color="auto"/>
        <w:right w:val="none" w:sz="0" w:space="0" w:color="auto"/>
      </w:divBdr>
    </w:div>
    <w:div w:id="512452470">
      <w:bodyDiv w:val="1"/>
      <w:marLeft w:val="0"/>
      <w:marRight w:val="0"/>
      <w:marTop w:val="0"/>
      <w:marBottom w:val="0"/>
      <w:divBdr>
        <w:top w:val="none" w:sz="0" w:space="0" w:color="auto"/>
        <w:left w:val="none" w:sz="0" w:space="0" w:color="auto"/>
        <w:bottom w:val="none" w:sz="0" w:space="0" w:color="auto"/>
        <w:right w:val="none" w:sz="0" w:space="0" w:color="auto"/>
      </w:divBdr>
    </w:div>
    <w:div w:id="513884159">
      <w:bodyDiv w:val="1"/>
      <w:marLeft w:val="0"/>
      <w:marRight w:val="0"/>
      <w:marTop w:val="0"/>
      <w:marBottom w:val="0"/>
      <w:divBdr>
        <w:top w:val="none" w:sz="0" w:space="0" w:color="auto"/>
        <w:left w:val="none" w:sz="0" w:space="0" w:color="auto"/>
        <w:bottom w:val="none" w:sz="0" w:space="0" w:color="auto"/>
        <w:right w:val="none" w:sz="0" w:space="0" w:color="auto"/>
      </w:divBdr>
    </w:div>
    <w:div w:id="521359645">
      <w:bodyDiv w:val="1"/>
      <w:marLeft w:val="0"/>
      <w:marRight w:val="0"/>
      <w:marTop w:val="0"/>
      <w:marBottom w:val="0"/>
      <w:divBdr>
        <w:top w:val="none" w:sz="0" w:space="0" w:color="auto"/>
        <w:left w:val="none" w:sz="0" w:space="0" w:color="auto"/>
        <w:bottom w:val="none" w:sz="0" w:space="0" w:color="auto"/>
        <w:right w:val="none" w:sz="0" w:space="0" w:color="auto"/>
      </w:divBdr>
    </w:div>
    <w:div w:id="526605555">
      <w:bodyDiv w:val="1"/>
      <w:marLeft w:val="0"/>
      <w:marRight w:val="0"/>
      <w:marTop w:val="0"/>
      <w:marBottom w:val="0"/>
      <w:divBdr>
        <w:top w:val="none" w:sz="0" w:space="0" w:color="auto"/>
        <w:left w:val="none" w:sz="0" w:space="0" w:color="auto"/>
        <w:bottom w:val="none" w:sz="0" w:space="0" w:color="auto"/>
        <w:right w:val="none" w:sz="0" w:space="0" w:color="auto"/>
      </w:divBdr>
    </w:div>
    <w:div w:id="535889561">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559290024">
      <w:bodyDiv w:val="1"/>
      <w:marLeft w:val="0"/>
      <w:marRight w:val="0"/>
      <w:marTop w:val="0"/>
      <w:marBottom w:val="0"/>
      <w:divBdr>
        <w:top w:val="none" w:sz="0" w:space="0" w:color="auto"/>
        <w:left w:val="none" w:sz="0" w:space="0" w:color="auto"/>
        <w:bottom w:val="none" w:sz="0" w:space="0" w:color="auto"/>
        <w:right w:val="none" w:sz="0" w:space="0" w:color="auto"/>
      </w:divBdr>
    </w:div>
    <w:div w:id="564990028">
      <w:bodyDiv w:val="1"/>
      <w:marLeft w:val="0"/>
      <w:marRight w:val="0"/>
      <w:marTop w:val="0"/>
      <w:marBottom w:val="0"/>
      <w:divBdr>
        <w:top w:val="none" w:sz="0" w:space="0" w:color="auto"/>
        <w:left w:val="none" w:sz="0" w:space="0" w:color="auto"/>
        <w:bottom w:val="none" w:sz="0" w:space="0" w:color="auto"/>
        <w:right w:val="none" w:sz="0" w:space="0" w:color="auto"/>
      </w:divBdr>
    </w:div>
    <w:div w:id="576475494">
      <w:bodyDiv w:val="1"/>
      <w:marLeft w:val="0"/>
      <w:marRight w:val="0"/>
      <w:marTop w:val="0"/>
      <w:marBottom w:val="0"/>
      <w:divBdr>
        <w:top w:val="none" w:sz="0" w:space="0" w:color="auto"/>
        <w:left w:val="none" w:sz="0" w:space="0" w:color="auto"/>
        <w:bottom w:val="none" w:sz="0" w:space="0" w:color="auto"/>
        <w:right w:val="none" w:sz="0" w:space="0" w:color="auto"/>
      </w:divBdr>
    </w:div>
    <w:div w:id="587469925">
      <w:bodyDiv w:val="1"/>
      <w:marLeft w:val="0"/>
      <w:marRight w:val="0"/>
      <w:marTop w:val="0"/>
      <w:marBottom w:val="0"/>
      <w:divBdr>
        <w:top w:val="none" w:sz="0" w:space="0" w:color="auto"/>
        <w:left w:val="none" w:sz="0" w:space="0" w:color="auto"/>
        <w:bottom w:val="none" w:sz="0" w:space="0" w:color="auto"/>
        <w:right w:val="none" w:sz="0" w:space="0" w:color="auto"/>
      </w:divBdr>
      <w:divsChild>
        <w:div w:id="1391657211">
          <w:marLeft w:val="533"/>
          <w:marRight w:val="0"/>
          <w:marTop w:val="77"/>
          <w:marBottom w:val="0"/>
          <w:divBdr>
            <w:top w:val="none" w:sz="0" w:space="0" w:color="auto"/>
            <w:left w:val="none" w:sz="0" w:space="0" w:color="auto"/>
            <w:bottom w:val="none" w:sz="0" w:space="0" w:color="auto"/>
            <w:right w:val="none" w:sz="0" w:space="0" w:color="auto"/>
          </w:divBdr>
        </w:div>
      </w:divsChild>
    </w:div>
    <w:div w:id="592278226">
      <w:bodyDiv w:val="1"/>
      <w:marLeft w:val="0"/>
      <w:marRight w:val="0"/>
      <w:marTop w:val="0"/>
      <w:marBottom w:val="0"/>
      <w:divBdr>
        <w:top w:val="none" w:sz="0" w:space="0" w:color="auto"/>
        <w:left w:val="none" w:sz="0" w:space="0" w:color="auto"/>
        <w:bottom w:val="none" w:sz="0" w:space="0" w:color="auto"/>
        <w:right w:val="none" w:sz="0" w:space="0" w:color="auto"/>
      </w:divBdr>
    </w:div>
    <w:div w:id="600064753">
      <w:bodyDiv w:val="1"/>
      <w:marLeft w:val="0"/>
      <w:marRight w:val="0"/>
      <w:marTop w:val="0"/>
      <w:marBottom w:val="0"/>
      <w:divBdr>
        <w:top w:val="none" w:sz="0" w:space="0" w:color="auto"/>
        <w:left w:val="none" w:sz="0" w:space="0" w:color="auto"/>
        <w:bottom w:val="none" w:sz="0" w:space="0" w:color="auto"/>
        <w:right w:val="none" w:sz="0" w:space="0" w:color="auto"/>
      </w:divBdr>
    </w:div>
    <w:div w:id="62469496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634457579">
      <w:bodyDiv w:val="1"/>
      <w:marLeft w:val="0"/>
      <w:marRight w:val="0"/>
      <w:marTop w:val="0"/>
      <w:marBottom w:val="0"/>
      <w:divBdr>
        <w:top w:val="none" w:sz="0" w:space="0" w:color="auto"/>
        <w:left w:val="none" w:sz="0" w:space="0" w:color="auto"/>
        <w:bottom w:val="none" w:sz="0" w:space="0" w:color="auto"/>
        <w:right w:val="none" w:sz="0" w:space="0" w:color="auto"/>
      </w:divBdr>
    </w:div>
    <w:div w:id="641229804">
      <w:bodyDiv w:val="1"/>
      <w:marLeft w:val="0"/>
      <w:marRight w:val="0"/>
      <w:marTop w:val="0"/>
      <w:marBottom w:val="0"/>
      <w:divBdr>
        <w:top w:val="none" w:sz="0" w:space="0" w:color="auto"/>
        <w:left w:val="none" w:sz="0" w:space="0" w:color="auto"/>
        <w:bottom w:val="none" w:sz="0" w:space="0" w:color="auto"/>
        <w:right w:val="none" w:sz="0" w:space="0" w:color="auto"/>
      </w:divBdr>
    </w:div>
    <w:div w:id="668605026">
      <w:bodyDiv w:val="1"/>
      <w:marLeft w:val="0"/>
      <w:marRight w:val="0"/>
      <w:marTop w:val="0"/>
      <w:marBottom w:val="0"/>
      <w:divBdr>
        <w:top w:val="none" w:sz="0" w:space="0" w:color="auto"/>
        <w:left w:val="none" w:sz="0" w:space="0" w:color="auto"/>
        <w:bottom w:val="none" w:sz="0" w:space="0" w:color="auto"/>
        <w:right w:val="none" w:sz="0" w:space="0" w:color="auto"/>
      </w:divBdr>
    </w:div>
    <w:div w:id="676005882">
      <w:bodyDiv w:val="1"/>
      <w:marLeft w:val="0"/>
      <w:marRight w:val="0"/>
      <w:marTop w:val="0"/>
      <w:marBottom w:val="0"/>
      <w:divBdr>
        <w:top w:val="none" w:sz="0" w:space="0" w:color="auto"/>
        <w:left w:val="none" w:sz="0" w:space="0" w:color="auto"/>
        <w:bottom w:val="none" w:sz="0" w:space="0" w:color="auto"/>
        <w:right w:val="none" w:sz="0" w:space="0" w:color="auto"/>
      </w:divBdr>
    </w:div>
    <w:div w:id="680399399">
      <w:bodyDiv w:val="1"/>
      <w:marLeft w:val="0"/>
      <w:marRight w:val="0"/>
      <w:marTop w:val="0"/>
      <w:marBottom w:val="0"/>
      <w:divBdr>
        <w:top w:val="none" w:sz="0" w:space="0" w:color="auto"/>
        <w:left w:val="none" w:sz="0" w:space="0" w:color="auto"/>
        <w:bottom w:val="none" w:sz="0" w:space="0" w:color="auto"/>
        <w:right w:val="none" w:sz="0" w:space="0" w:color="auto"/>
      </w:divBdr>
      <w:divsChild>
        <w:div w:id="149442943">
          <w:marLeft w:val="360"/>
          <w:marRight w:val="0"/>
          <w:marTop w:val="200"/>
          <w:marBottom w:val="0"/>
          <w:divBdr>
            <w:top w:val="none" w:sz="0" w:space="0" w:color="auto"/>
            <w:left w:val="none" w:sz="0" w:space="0" w:color="auto"/>
            <w:bottom w:val="none" w:sz="0" w:space="0" w:color="auto"/>
            <w:right w:val="none" w:sz="0" w:space="0" w:color="auto"/>
          </w:divBdr>
        </w:div>
        <w:div w:id="945967067">
          <w:marLeft w:val="1080"/>
          <w:marRight w:val="0"/>
          <w:marTop w:val="100"/>
          <w:marBottom w:val="0"/>
          <w:divBdr>
            <w:top w:val="none" w:sz="0" w:space="0" w:color="auto"/>
            <w:left w:val="none" w:sz="0" w:space="0" w:color="auto"/>
            <w:bottom w:val="none" w:sz="0" w:space="0" w:color="auto"/>
            <w:right w:val="none" w:sz="0" w:space="0" w:color="auto"/>
          </w:divBdr>
        </w:div>
        <w:div w:id="112597049">
          <w:marLeft w:val="1080"/>
          <w:marRight w:val="0"/>
          <w:marTop w:val="100"/>
          <w:marBottom w:val="0"/>
          <w:divBdr>
            <w:top w:val="none" w:sz="0" w:space="0" w:color="auto"/>
            <w:left w:val="none" w:sz="0" w:space="0" w:color="auto"/>
            <w:bottom w:val="none" w:sz="0" w:space="0" w:color="auto"/>
            <w:right w:val="none" w:sz="0" w:space="0" w:color="auto"/>
          </w:divBdr>
        </w:div>
        <w:div w:id="112213784">
          <w:marLeft w:val="1080"/>
          <w:marRight w:val="0"/>
          <w:marTop w:val="100"/>
          <w:marBottom w:val="0"/>
          <w:divBdr>
            <w:top w:val="none" w:sz="0" w:space="0" w:color="auto"/>
            <w:left w:val="none" w:sz="0" w:space="0" w:color="auto"/>
            <w:bottom w:val="none" w:sz="0" w:space="0" w:color="auto"/>
            <w:right w:val="none" w:sz="0" w:space="0" w:color="auto"/>
          </w:divBdr>
        </w:div>
      </w:divsChild>
    </w:div>
    <w:div w:id="688218110">
      <w:bodyDiv w:val="1"/>
      <w:marLeft w:val="0"/>
      <w:marRight w:val="0"/>
      <w:marTop w:val="0"/>
      <w:marBottom w:val="0"/>
      <w:divBdr>
        <w:top w:val="none" w:sz="0" w:space="0" w:color="auto"/>
        <w:left w:val="none" w:sz="0" w:space="0" w:color="auto"/>
        <w:bottom w:val="none" w:sz="0" w:space="0" w:color="auto"/>
        <w:right w:val="none" w:sz="0" w:space="0" w:color="auto"/>
      </w:divBdr>
    </w:div>
    <w:div w:id="700207077">
      <w:bodyDiv w:val="1"/>
      <w:marLeft w:val="0"/>
      <w:marRight w:val="0"/>
      <w:marTop w:val="0"/>
      <w:marBottom w:val="0"/>
      <w:divBdr>
        <w:top w:val="none" w:sz="0" w:space="0" w:color="auto"/>
        <w:left w:val="none" w:sz="0" w:space="0" w:color="auto"/>
        <w:bottom w:val="none" w:sz="0" w:space="0" w:color="auto"/>
        <w:right w:val="none" w:sz="0" w:space="0" w:color="auto"/>
      </w:divBdr>
    </w:div>
    <w:div w:id="708720920">
      <w:bodyDiv w:val="1"/>
      <w:marLeft w:val="0"/>
      <w:marRight w:val="0"/>
      <w:marTop w:val="0"/>
      <w:marBottom w:val="0"/>
      <w:divBdr>
        <w:top w:val="none" w:sz="0" w:space="0" w:color="auto"/>
        <w:left w:val="none" w:sz="0" w:space="0" w:color="auto"/>
        <w:bottom w:val="none" w:sz="0" w:space="0" w:color="auto"/>
        <w:right w:val="none" w:sz="0" w:space="0" w:color="auto"/>
      </w:divBdr>
    </w:div>
    <w:div w:id="717511943">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35669889">
      <w:bodyDiv w:val="1"/>
      <w:marLeft w:val="0"/>
      <w:marRight w:val="0"/>
      <w:marTop w:val="0"/>
      <w:marBottom w:val="0"/>
      <w:divBdr>
        <w:top w:val="none" w:sz="0" w:space="0" w:color="auto"/>
        <w:left w:val="none" w:sz="0" w:space="0" w:color="auto"/>
        <w:bottom w:val="none" w:sz="0" w:space="0" w:color="auto"/>
        <w:right w:val="none" w:sz="0" w:space="0" w:color="auto"/>
      </w:divBdr>
    </w:div>
    <w:div w:id="739601006">
      <w:bodyDiv w:val="1"/>
      <w:marLeft w:val="0"/>
      <w:marRight w:val="0"/>
      <w:marTop w:val="0"/>
      <w:marBottom w:val="0"/>
      <w:divBdr>
        <w:top w:val="none" w:sz="0" w:space="0" w:color="auto"/>
        <w:left w:val="none" w:sz="0" w:space="0" w:color="auto"/>
        <w:bottom w:val="none" w:sz="0" w:space="0" w:color="auto"/>
        <w:right w:val="none" w:sz="0" w:space="0" w:color="auto"/>
      </w:divBdr>
    </w:div>
    <w:div w:id="741637139">
      <w:bodyDiv w:val="1"/>
      <w:marLeft w:val="0"/>
      <w:marRight w:val="0"/>
      <w:marTop w:val="0"/>
      <w:marBottom w:val="0"/>
      <w:divBdr>
        <w:top w:val="none" w:sz="0" w:space="0" w:color="auto"/>
        <w:left w:val="none" w:sz="0" w:space="0" w:color="auto"/>
        <w:bottom w:val="none" w:sz="0" w:space="0" w:color="auto"/>
        <w:right w:val="none" w:sz="0" w:space="0" w:color="auto"/>
      </w:divBdr>
    </w:div>
    <w:div w:id="756560819">
      <w:bodyDiv w:val="1"/>
      <w:marLeft w:val="0"/>
      <w:marRight w:val="0"/>
      <w:marTop w:val="0"/>
      <w:marBottom w:val="0"/>
      <w:divBdr>
        <w:top w:val="none" w:sz="0" w:space="0" w:color="auto"/>
        <w:left w:val="none" w:sz="0" w:space="0" w:color="auto"/>
        <w:bottom w:val="none" w:sz="0" w:space="0" w:color="auto"/>
        <w:right w:val="none" w:sz="0" w:space="0" w:color="auto"/>
      </w:divBdr>
    </w:div>
    <w:div w:id="757991635">
      <w:bodyDiv w:val="1"/>
      <w:marLeft w:val="0"/>
      <w:marRight w:val="0"/>
      <w:marTop w:val="0"/>
      <w:marBottom w:val="0"/>
      <w:divBdr>
        <w:top w:val="none" w:sz="0" w:space="0" w:color="auto"/>
        <w:left w:val="none" w:sz="0" w:space="0" w:color="auto"/>
        <w:bottom w:val="none" w:sz="0" w:space="0" w:color="auto"/>
        <w:right w:val="none" w:sz="0" w:space="0" w:color="auto"/>
      </w:divBdr>
    </w:div>
    <w:div w:id="763918958">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14106375">
      <w:bodyDiv w:val="1"/>
      <w:marLeft w:val="0"/>
      <w:marRight w:val="0"/>
      <w:marTop w:val="0"/>
      <w:marBottom w:val="0"/>
      <w:divBdr>
        <w:top w:val="none" w:sz="0" w:space="0" w:color="auto"/>
        <w:left w:val="none" w:sz="0" w:space="0" w:color="auto"/>
        <w:bottom w:val="none" w:sz="0" w:space="0" w:color="auto"/>
        <w:right w:val="none" w:sz="0" w:space="0" w:color="auto"/>
      </w:divBdr>
    </w:div>
    <w:div w:id="830633744">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84440794">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08827535">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17462402">
      <w:bodyDiv w:val="1"/>
      <w:marLeft w:val="0"/>
      <w:marRight w:val="0"/>
      <w:marTop w:val="0"/>
      <w:marBottom w:val="0"/>
      <w:divBdr>
        <w:top w:val="none" w:sz="0" w:space="0" w:color="auto"/>
        <w:left w:val="none" w:sz="0" w:space="0" w:color="auto"/>
        <w:bottom w:val="none" w:sz="0" w:space="0" w:color="auto"/>
        <w:right w:val="none" w:sz="0" w:space="0" w:color="auto"/>
      </w:divBdr>
    </w:div>
    <w:div w:id="1028333336">
      <w:bodyDiv w:val="1"/>
      <w:marLeft w:val="0"/>
      <w:marRight w:val="0"/>
      <w:marTop w:val="0"/>
      <w:marBottom w:val="0"/>
      <w:divBdr>
        <w:top w:val="none" w:sz="0" w:space="0" w:color="auto"/>
        <w:left w:val="none" w:sz="0" w:space="0" w:color="auto"/>
        <w:bottom w:val="none" w:sz="0" w:space="0" w:color="auto"/>
        <w:right w:val="none" w:sz="0" w:space="0" w:color="auto"/>
      </w:divBdr>
    </w:div>
    <w:div w:id="1030912284">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3071222">
      <w:bodyDiv w:val="1"/>
      <w:marLeft w:val="0"/>
      <w:marRight w:val="0"/>
      <w:marTop w:val="0"/>
      <w:marBottom w:val="0"/>
      <w:divBdr>
        <w:top w:val="none" w:sz="0" w:space="0" w:color="auto"/>
        <w:left w:val="none" w:sz="0" w:space="0" w:color="auto"/>
        <w:bottom w:val="none" w:sz="0" w:space="0" w:color="auto"/>
        <w:right w:val="none" w:sz="0" w:space="0" w:color="auto"/>
      </w:divBdr>
    </w:div>
    <w:div w:id="1084641414">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096099780">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17794599">
      <w:bodyDiv w:val="1"/>
      <w:marLeft w:val="0"/>
      <w:marRight w:val="0"/>
      <w:marTop w:val="0"/>
      <w:marBottom w:val="0"/>
      <w:divBdr>
        <w:top w:val="none" w:sz="0" w:space="0" w:color="auto"/>
        <w:left w:val="none" w:sz="0" w:space="0" w:color="auto"/>
        <w:bottom w:val="none" w:sz="0" w:space="0" w:color="auto"/>
        <w:right w:val="none" w:sz="0" w:space="0" w:color="auto"/>
      </w:divBdr>
    </w:div>
    <w:div w:id="1131436032">
      <w:bodyDiv w:val="1"/>
      <w:marLeft w:val="0"/>
      <w:marRight w:val="0"/>
      <w:marTop w:val="0"/>
      <w:marBottom w:val="0"/>
      <w:divBdr>
        <w:top w:val="none" w:sz="0" w:space="0" w:color="auto"/>
        <w:left w:val="none" w:sz="0" w:space="0" w:color="auto"/>
        <w:bottom w:val="none" w:sz="0" w:space="0" w:color="auto"/>
        <w:right w:val="none" w:sz="0" w:space="0" w:color="auto"/>
      </w:divBdr>
    </w:div>
    <w:div w:id="1142775243">
      <w:bodyDiv w:val="1"/>
      <w:marLeft w:val="0"/>
      <w:marRight w:val="0"/>
      <w:marTop w:val="0"/>
      <w:marBottom w:val="0"/>
      <w:divBdr>
        <w:top w:val="none" w:sz="0" w:space="0" w:color="auto"/>
        <w:left w:val="none" w:sz="0" w:space="0" w:color="auto"/>
        <w:bottom w:val="none" w:sz="0" w:space="0" w:color="auto"/>
        <w:right w:val="none" w:sz="0" w:space="0" w:color="auto"/>
      </w:divBdr>
    </w:div>
    <w:div w:id="1172255033">
      <w:bodyDiv w:val="1"/>
      <w:marLeft w:val="0"/>
      <w:marRight w:val="0"/>
      <w:marTop w:val="0"/>
      <w:marBottom w:val="0"/>
      <w:divBdr>
        <w:top w:val="none" w:sz="0" w:space="0" w:color="auto"/>
        <w:left w:val="none" w:sz="0" w:space="0" w:color="auto"/>
        <w:bottom w:val="none" w:sz="0" w:space="0" w:color="auto"/>
        <w:right w:val="none" w:sz="0" w:space="0" w:color="auto"/>
      </w:divBdr>
    </w:div>
    <w:div w:id="1176726446">
      <w:bodyDiv w:val="1"/>
      <w:marLeft w:val="0"/>
      <w:marRight w:val="0"/>
      <w:marTop w:val="0"/>
      <w:marBottom w:val="0"/>
      <w:divBdr>
        <w:top w:val="none" w:sz="0" w:space="0" w:color="auto"/>
        <w:left w:val="none" w:sz="0" w:space="0" w:color="auto"/>
        <w:bottom w:val="none" w:sz="0" w:space="0" w:color="auto"/>
        <w:right w:val="none" w:sz="0" w:space="0" w:color="auto"/>
      </w:divBdr>
    </w:div>
    <w:div w:id="1184898993">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3924609">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42566903">
      <w:bodyDiv w:val="1"/>
      <w:marLeft w:val="0"/>
      <w:marRight w:val="0"/>
      <w:marTop w:val="0"/>
      <w:marBottom w:val="0"/>
      <w:divBdr>
        <w:top w:val="none" w:sz="0" w:space="0" w:color="auto"/>
        <w:left w:val="none" w:sz="0" w:space="0" w:color="auto"/>
        <w:bottom w:val="none" w:sz="0" w:space="0" w:color="auto"/>
        <w:right w:val="none" w:sz="0" w:space="0" w:color="auto"/>
      </w:divBdr>
    </w:div>
    <w:div w:id="1248684327">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5909390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283151191">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921356">
      <w:bodyDiv w:val="1"/>
      <w:marLeft w:val="0"/>
      <w:marRight w:val="0"/>
      <w:marTop w:val="0"/>
      <w:marBottom w:val="0"/>
      <w:divBdr>
        <w:top w:val="none" w:sz="0" w:space="0" w:color="auto"/>
        <w:left w:val="none" w:sz="0" w:space="0" w:color="auto"/>
        <w:bottom w:val="none" w:sz="0" w:space="0" w:color="auto"/>
        <w:right w:val="none" w:sz="0" w:space="0" w:color="auto"/>
      </w:divBdr>
    </w:div>
    <w:div w:id="1344477115">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372341212">
      <w:bodyDiv w:val="1"/>
      <w:marLeft w:val="0"/>
      <w:marRight w:val="0"/>
      <w:marTop w:val="0"/>
      <w:marBottom w:val="0"/>
      <w:divBdr>
        <w:top w:val="none" w:sz="0" w:space="0" w:color="auto"/>
        <w:left w:val="none" w:sz="0" w:space="0" w:color="auto"/>
        <w:bottom w:val="none" w:sz="0" w:space="0" w:color="auto"/>
        <w:right w:val="none" w:sz="0" w:space="0" w:color="auto"/>
      </w:divBdr>
    </w:div>
    <w:div w:id="1404642215">
      <w:bodyDiv w:val="1"/>
      <w:marLeft w:val="0"/>
      <w:marRight w:val="0"/>
      <w:marTop w:val="0"/>
      <w:marBottom w:val="0"/>
      <w:divBdr>
        <w:top w:val="none" w:sz="0" w:space="0" w:color="auto"/>
        <w:left w:val="none" w:sz="0" w:space="0" w:color="auto"/>
        <w:bottom w:val="none" w:sz="0" w:space="0" w:color="auto"/>
        <w:right w:val="none" w:sz="0" w:space="0" w:color="auto"/>
      </w:divBdr>
    </w:div>
    <w:div w:id="1442990467">
      <w:bodyDiv w:val="1"/>
      <w:marLeft w:val="0"/>
      <w:marRight w:val="0"/>
      <w:marTop w:val="0"/>
      <w:marBottom w:val="0"/>
      <w:divBdr>
        <w:top w:val="none" w:sz="0" w:space="0" w:color="auto"/>
        <w:left w:val="none" w:sz="0" w:space="0" w:color="auto"/>
        <w:bottom w:val="none" w:sz="0" w:space="0" w:color="auto"/>
        <w:right w:val="none" w:sz="0" w:space="0" w:color="auto"/>
      </w:divBdr>
    </w:div>
    <w:div w:id="1470975052">
      <w:bodyDiv w:val="1"/>
      <w:marLeft w:val="0"/>
      <w:marRight w:val="0"/>
      <w:marTop w:val="0"/>
      <w:marBottom w:val="0"/>
      <w:divBdr>
        <w:top w:val="none" w:sz="0" w:space="0" w:color="auto"/>
        <w:left w:val="none" w:sz="0" w:space="0" w:color="auto"/>
        <w:bottom w:val="none" w:sz="0" w:space="0" w:color="auto"/>
        <w:right w:val="none" w:sz="0" w:space="0" w:color="auto"/>
      </w:divBdr>
    </w:div>
    <w:div w:id="1485125041">
      <w:bodyDiv w:val="1"/>
      <w:marLeft w:val="0"/>
      <w:marRight w:val="0"/>
      <w:marTop w:val="0"/>
      <w:marBottom w:val="0"/>
      <w:divBdr>
        <w:top w:val="none" w:sz="0" w:space="0" w:color="auto"/>
        <w:left w:val="none" w:sz="0" w:space="0" w:color="auto"/>
        <w:bottom w:val="none" w:sz="0" w:space="0" w:color="auto"/>
        <w:right w:val="none" w:sz="0" w:space="0" w:color="auto"/>
      </w:divBdr>
    </w:div>
    <w:div w:id="1487941787">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768690">
      <w:bodyDiv w:val="1"/>
      <w:marLeft w:val="0"/>
      <w:marRight w:val="0"/>
      <w:marTop w:val="0"/>
      <w:marBottom w:val="0"/>
      <w:divBdr>
        <w:top w:val="none" w:sz="0" w:space="0" w:color="auto"/>
        <w:left w:val="none" w:sz="0" w:space="0" w:color="auto"/>
        <w:bottom w:val="none" w:sz="0" w:space="0" w:color="auto"/>
        <w:right w:val="none" w:sz="0" w:space="0" w:color="auto"/>
      </w:divBdr>
    </w:div>
    <w:div w:id="1538161359">
      <w:bodyDiv w:val="1"/>
      <w:marLeft w:val="0"/>
      <w:marRight w:val="0"/>
      <w:marTop w:val="0"/>
      <w:marBottom w:val="0"/>
      <w:divBdr>
        <w:top w:val="none" w:sz="0" w:space="0" w:color="auto"/>
        <w:left w:val="none" w:sz="0" w:space="0" w:color="auto"/>
        <w:bottom w:val="none" w:sz="0" w:space="0" w:color="auto"/>
        <w:right w:val="none" w:sz="0" w:space="0" w:color="auto"/>
      </w:divBdr>
    </w:div>
    <w:div w:id="1557475220">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2109201">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8594451">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1085849">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28392444">
      <w:bodyDiv w:val="1"/>
      <w:marLeft w:val="0"/>
      <w:marRight w:val="0"/>
      <w:marTop w:val="0"/>
      <w:marBottom w:val="0"/>
      <w:divBdr>
        <w:top w:val="none" w:sz="0" w:space="0" w:color="auto"/>
        <w:left w:val="none" w:sz="0" w:space="0" w:color="auto"/>
        <w:bottom w:val="none" w:sz="0" w:space="0" w:color="auto"/>
        <w:right w:val="none" w:sz="0" w:space="0" w:color="auto"/>
      </w:divBdr>
    </w:div>
    <w:div w:id="1631591099">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59992059">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08677780">
      <w:bodyDiv w:val="1"/>
      <w:marLeft w:val="0"/>
      <w:marRight w:val="0"/>
      <w:marTop w:val="0"/>
      <w:marBottom w:val="0"/>
      <w:divBdr>
        <w:top w:val="none" w:sz="0" w:space="0" w:color="auto"/>
        <w:left w:val="none" w:sz="0" w:space="0" w:color="auto"/>
        <w:bottom w:val="none" w:sz="0" w:space="0" w:color="auto"/>
        <w:right w:val="none" w:sz="0" w:space="0" w:color="auto"/>
      </w:divBdr>
    </w:div>
    <w:div w:id="172440461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515616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47532905">
      <w:bodyDiv w:val="1"/>
      <w:marLeft w:val="0"/>
      <w:marRight w:val="0"/>
      <w:marTop w:val="0"/>
      <w:marBottom w:val="0"/>
      <w:divBdr>
        <w:top w:val="none" w:sz="0" w:space="0" w:color="auto"/>
        <w:left w:val="none" w:sz="0" w:space="0" w:color="auto"/>
        <w:bottom w:val="none" w:sz="0" w:space="0" w:color="auto"/>
        <w:right w:val="none" w:sz="0" w:space="0" w:color="auto"/>
      </w:divBdr>
      <w:divsChild>
        <w:div w:id="1444109082">
          <w:marLeft w:val="360"/>
          <w:marRight w:val="0"/>
          <w:marTop w:val="0"/>
          <w:marBottom w:val="120"/>
          <w:divBdr>
            <w:top w:val="none" w:sz="0" w:space="0" w:color="auto"/>
            <w:left w:val="none" w:sz="0" w:space="0" w:color="auto"/>
            <w:bottom w:val="none" w:sz="0" w:space="0" w:color="auto"/>
            <w:right w:val="none" w:sz="0" w:space="0" w:color="auto"/>
          </w:divBdr>
        </w:div>
        <w:div w:id="2033873097">
          <w:marLeft w:val="1080"/>
          <w:marRight w:val="0"/>
          <w:marTop w:val="0"/>
          <w:marBottom w:val="120"/>
          <w:divBdr>
            <w:top w:val="none" w:sz="0" w:space="0" w:color="auto"/>
            <w:left w:val="none" w:sz="0" w:space="0" w:color="auto"/>
            <w:bottom w:val="none" w:sz="0" w:space="0" w:color="auto"/>
            <w:right w:val="none" w:sz="0" w:space="0" w:color="auto"/>
          </w:divBdr>
        </w:div>
        <w:div w:id="1339121137">
          <w:marLeft w:val="1800"/>
          <w:marRight w:val="0"/>
          <w:marTop w:val="0"/>
          <w:marBottom w:val="120"/>
          <w:divBdr>
            <w:top w:val="none" w:sz="0" w:space="0" w:color="auto"/>
            <w:left w:val="none" w:sz="0" w:space="0" w:color="auto"/>
            <w:bottom w:val="none" w:sz="0" w:space="0" w:color="auto"/>
            <w:right w:val="none" w:sz="0" w:space="0" w:color="auto"/>
          </w:divBdr>
        </w:div>
        <w:div w:id="1454834477">
          <w:marLeft w:val="1080"/>
          <w:marRight w:val="0"/>
          <w:marTop w:val="0"/>
          <w:marBottom w:val="120"/>
          <w:divBdr>
            <w:top w:val="none" w:sz="0" w:space="0" w:color="auto"/>
            <w:left w:val="none" w:sz="0" w:space="0" w:color="auto"/>
            <w:bottom w:val="none" w:sz="0" w:space="0" w:color="auto"/>
            <w:right w:val="none" w:sz="0" w:space="0" w:color="auto"/>
          </w:divBdr>
        </w:div>
        <w:div w:id="1701470496">
          <w:marLeft w:val="1800"/>
          <w:marRight w:val="0"/>
          <w:marTop w:val="0"/>
          <w:marBottom w:val="120"/>
          <w:divBdr>
            <w:top w:val="none" w:sz="0" w:space="0" w:color="auto"/>
            <w:left w:val="none" w:sz="0" w:space="0" w:color="auto"/>
            <w:bottom w:val="none" w:sz="0" w:space="0" w:color="auto"/>
            <w:right w:val="none" w:sz="0" w:space="0" w:color="auto"/>
          </w:divBdr>
        </w:div>
        <w:div w:id="1193114175">
          <w:marLeft w:val="1080"/>
          <w:marRight w:val="0"/>
          <w:marTop w:val="0"/>
          <w:marBottom w:val="120"/>
          <w:divBdr>
            <w:top w:val="none" w:sz="0" w:space="0" w:color="auto"/>
            <w:left w:val="none" w:sz="0" w:space="0" w:color="auto"/>
            <w:bottom w:val="none" w:sz="0" w:space="0" w:color="auto"/>
            <w:right w:val="none" w:sz="0" w:space="0" w:color="auto"/>
          </w:divBdr>
        </w:div>
        <w:div w:id="73934614">
          <w:marLeft w:val="1080"/>
          <w:marRight w:val="0"/>
          <w:marTop w:val="0"/>
          <w:marBottom w:val="120"/>
          <w:divBdr>
            <w:top w:val="none" w:sz="0" w:space="0" w:color="auto"/>
            <w:left w:val="none" w:sz="0" w:space="0" w:color="auto"/>
            <w:bottom w:val="none" w:sz="0" w:space="0" w:color="auto"/>
            <w:right w:val="none" w:sz="0" w:space="0" w:color="auto"/>
          </w:divBdr>
        </w:div>
        <w:div w:id="1367411344">
          <w:marLeft w:val="1080"/>
          <w:marRight w:val="0"/>
          <w:marTop w:val="0"/>
          <w:marBottom w:val="120"/>
          <w:divBdr>
            <w:top w:val="none" w:sz="0" w:space="0" w:color="auto"/>
            <w:left w:val="none" w:sz="0" w:space="0" w:color="auto"/>
            <w:bottom w:val="none" w:sz="0" w:space="0" w:color="auto"/>
            <w:right w:val="none" w:sz="0" w:space="0" w:color="auto"/>
          </w:divBdr>
        </w:div>
        <w:div w:id="130487189">
          <w:marLeft w:val="1800"/>
          <w:marRight w:val="0"/>
          <w:marTop w:val="0"/>
          <w:marBottom w:val="120"/>
          <w:divBdr>
            <w:top w:val="none" w:sz="0" w:space="0" w:color="auto"/>
            <w:left w:val="none" w:sz="0" w:space="0" w:color="auto"/>
            <w:bottom w:val="none" w:sz="0" w:space="0" w:color="auto"/>
            <w:right w:val="none" w:sz="0" w:space="0" w:color="auto"/>
          </w:divBdr>
        </w:div>
        <w:div w:id="1470050117">
          <w:marLeft w:val="1800"/>
          <w:marRight w:val="0"/>
          <w:marTop w:val="0"/>
          <w:marBottom w:val="120"/>
          <w:divBdr>
            <w:top w:val="none" w:sz="0" w:space="0" w:color="auto"/>
            <w:left w:val="none" w:sz="0" w:space="0" w:color="auto"/>
            <w:bottom w:val="none" w:sz="0" w:space="0" w:color="auto"/>
            <w:right w:val="none" w:sz="0" w:space="0" w:color="auto"/>
          </w:divBdr>
        </w:div>
        <w:div w:id="470371596">
          <w:marLeft w:val="360"/>
          <w:marRight w:val="0"/>
          <w:marTop w:val="0"/>
          <w:marBottom w:val="120"/>
          <w:divBdr>
            <w:top w:val="none" w:sz="0" w:space="0" w:color="auto"/>
            <w:left w:val="none" w:sz="0" w:space="0" w:color="auto"/>
            <w:bottom w:val="none" w:sz="0" w:space="0" w:color="auto"/>
            <w:right w:val="none" w:sz="0" w:space="0" w:color="auto"/>
          </w:divBdr>
        </w:div>
      </w:divsChild>
    </w:div>
    <w:div w:id="1764105810">
      <w:bodyDiv w:val="1"/>
      <w:marLeft w:val="0"/>
      <w:marRight w:val="0"/>
      <w:marTop w:val="0"/>
      <w:marBottom w:val="0"/>
      <w:divBdr>
        <w:top w:val="none" w:sz="0" w:space="0" w:color="auto"/>
        <w:left w:val="none" w:sz="0" w:space="0" w:color="auto"/>
        <w:bottom w:val="none" w:sz="0" w:space="0" w:color="auto"/>
        <w:right w:val="none" w:sz="0" w:space="0" w:color="auto"/>
      </w:divBdr>
    </w:div>
    <w:div w:id="177308333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17792596">
      <w:bodyDiv w:val="1"/>
      <w:marLeft w:val="0"/>
      <w:marRight w:val="0"/>
      <w:marTop w:val="0"/>
      <w:marBottom w:val="0"/>
      <w:divBdr>
        <w:top w:val="none" w:sz="0" w:space="0" w:color="auto"/>
        <w:left w:val="none" w:sz="0" w:space="0" w:color="auto"/>
        <w:bottom w:val="none" w:sz="0" w:space="0" w:color="auto"/>
        <w:right w:val="none" w:sz="0" w:space="0" w:color="auto"/>
      </w:divBdr>
    </w:div>
    <w:div w:id="1837915641">
      <w:bodyDiv w:val="1"/>
      <w:marLeft w:val="0"/>
      <w:marRight w:val="0"/>
      <w:marTop w:val="0"/>
      <w:marBottom w:val="0"/>
      <w:divBdr>
        <w:top w:val="none" w:sz="0" w:space="0" w:color="auto"/>
        <w:left w:val="none" w:sz="0" w:space="0" w:color="auto"/>
        <w:bottom w:val="none" w:sz="0" w:space="0" w:color="auto"/>
        <w:right w:val="none" w:sz="0" w:space="0" w:color="auto"/>
      </w:divBdr>
    </w:div>
    <w:div w:id="1839810058">
      <w:bodyDiv w:val="1"/>
      <w:marLeft w:val="0"/>
      <w:marRight w:val="0"/>
      <w:marTop w:val="0"/>
      <w:marBottom w:val="0"/>
      <w:divBdr>
        <w:top w:val="none" w:sz="0" w:space="0" w:color="auto"/>
        <w:left w:val="none" w:sz="0" w:space="0" w:color="auto"/>
        <w:bottom w:val="none" w:sz="0" w:space="0" w:color="auto"/>
        <w:right w:val="none" w:sz="0" w:space="0" w:color="auto"/>
      </w:divBdr>
    </w:div>
    <w:div w:id="1845363771">
      <w:bodyDiv w:val="1"/>
      <w:marLeft w:val="0"/>
      <w:marRight w:val="0"/>
      <w:marTop w:val="0"/>
      <w:marBottom w:val="0"/>
      <w:divBdr>
        <w:top w:val="none" w:sz="0" w:space="0" w:color="auto"/>
        <w:left w:val="none" w:sz="0" w:space="0" w:color="auto"/>
        <w:bottom w:val="none" w:sz="0" w:space="0" w:color="auto"/>
        <w:right w:val="none" w:sz="0" w:space="0" w:color="auto"/>
      </w:divBdr>
    </w:div>
    <w:div w:id="1846747130">
      <w:bodyDiv w:val="1"/>
      <w:marLeft w:val="0"/>
      <w:marRight w:val="0"/>
      <w:marTop w:val="0"/>
      <w:marBottom w:val="0"/>
      <w:divBdr>
        <w:top w:val="none" w:sz="0" w:space="0" w:color="auto"/>
        <w:left w:val="none" w:sz="0" w:space="0" w:color="auto"/>
        <w:bottom w:val="none" w:sz="0" w:space="0" w:color="auto"/>
        <w:right w:val="none" w:sz="0" w:space="0" w:color="auto"/>
      </w:divBdr>
    </w:div>
    <w:div w:id="1855151168">
      <w:bodyDiv w:val="1"/>
      <w:marLeft w:val="0"/>
      <w:marRight w:val="0"/>
      <w:marTop w:val="0"/>
      <w:marBottom w:val="0"/>
      <w:divBdr>
        <w:top w:val="none" w:sz="0" w:space="0" w:color="auto"/>
        <w:left w:val="none" w:sz="0" w:space="0" w:color="auto"/>
        <w:bottom w:val="none" w:sz="0" w:space="0" w:color="auto"/>
        <w:right w:val="none" w:sz="0" w:space="0" w:color="auto"/>
      </w:divBdr>
    </w:div>
    <w:div w:id="1873180069">
      <w:bodyDiv w:val="1"/>
      <w:marLeft w:val="0"/>
      <w:marRight w:val="0"/>
      <w:marTop w:val="0"/>
      <w:marBottom w:val="0"/>
      <w:divBdr>
        <w:top w:val="none" w:sz="0" w:space="0" w:color="auto"/>
        <w:left w:val="none" w:sz="0" w:space="0" w:color="auto"/>
        <w:bottom w:val="none" w:sz="0" w:space="0" w:color="auto"/>
        <w:right w:val="none" w:sz="0" w:space="0" w:color="auto"/>
      </w:divBdr>
    </w:div>
    <w:div w:id="1889873087">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08610932">
      <w:bodyDiv w:val="1"/>
      <w:marLeft w:val="0"/>
      <w:marRight w:val="0"/>
      <w:marTop w:val="0"/>
      <w:marBottom w:val="0"/>
      <w:divBdr>
        <w:top w:val="none" w:sz="0" w:space="0" w:color="auto"/>
        <w:left w:val="none" w:sz="0" w:space="0" w:color="auto"/>
        <w:bottom w:val="none" w:sz="0" w:space="0" w:color="auto"/>
        <w:right w:val="none" w:sz="0" w:space="0" w:color="auto"/>
      </w:divBdr>
    </w:div>
    <w:div w:id="19324233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40066341">
      <w:bodyDiv w:val="1"/>
      <w:marLeft w:val="0"/>
      <w:marRight w:val="0"/>
      <w:marTop w:val="0"/>
      <w:marBottom w:val="0"/>
      <w:divBdr>
        <w:top w:val="none" w:sz="0" w:space="0" w:color="auto"/>
        <w:left w:val="none" w:sz="0" w:space="0" w:color="auto"/>
        <w:bottom w:val="none" w:sz="0" w:space="0" w:color="auto"/>
        <w:right w:val="none" w:sz="0" w:space="0" w:color="auto"/>
      </w:divBdr>
    </w:div>
    <w:div w:id="1941450952">
      <w:bodyDiv w:val="1"/>
      <w:marLeft w:val="0"/>
      <w:marRight w:val="0"/>
      <w:marTop w:val="0"/>
      <w:marBottom w:val="0"/>
      <w:divBdr>
        <w:top w:val="none" w:sz="0" w:space="0" w:color="auto"/>
        <w:left w:val="none" w:sz="0" w:space="0" w:color="auto"/>
        <w:bottom w:val="none" w:sz="0" w:space="0" w:color="auto"/>
        <w:right w:val="none" w:sz="0" w:space="0" w:color="auto"/>
      </w:divBdr>
    </w:div>
    <w:div w:id="1956865606">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01350421">
      <w:bodyDiv w:val="1"/>
      <w:marLeft w:val="0"/>
      <w:marRight w:val="0"/>
      <w:marTop w:val="0"/>
      <w:marBottom w:val="0"/>
      <w:divBdr>
        <w:top w:val="none" w:sz="0" w:space="0" w:color="auto"/>
        <w:left w:val="none" w:sz="0" w:space="0" w:color="auto"/>
        <w:bottom w:val="none" w:sz="0" w:space="0" w:color="auto"/>
        <w:right w:val="none" w:sz="0" w:space="0" w:color="auto"/>
      </w:divBdr>
    </w:div>
    <w:div w:id="2017875374">
      <w:bodyDiv w:val="1"/>
      <w:marLeft w:val="0"/>
      <w:marRight w:val="0"/>
      <w:marTop w:val="0"/>
      <w:marBottom w:val="0"/>
      <w:divBdr>
        <w:top w:val="none" w:sz="0" w:space="0" w:color="auto"/>
        <w:left w:val="none" w:sz="0" w:space="0" w:color="auto"/>
        <w:bottom w:val="none" w:sz="0" w:space="0" w:color="auto"/>
        <w:right w:val="none" w:sz="0" w:space="0" w:color="auto"/>
      </w:divBdr>
    </w:div>
    <w:div w:id="2017884488">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79548273">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87260972">
      <w:bodyDiv w:val="1"/>
      <w:marLeft w:val="0"/>
      <w:marRight w:val="0"/>
      <w:marTop w:val="0"/>
      <w:marBottom w:val="0"/>
      <w:divBdr>
        <w:top w:val="none" w:sz="0" w:space="0" w:color="auto"/>
        <w:left w:val="none" w:sz="0" w:space="0" w:color="auto"/>
        <w:bottom w:val="none" w:sz="0" w:space="0" w:color="auto"/>
        <w:right w:val="none" w:sz="0" w:space="0" w:color="auto"/>
      </w:divBdr>
    </w:div>
    <w:div w:id="2087801830">
      <w:bodyDiv w:val="1"/>
      <w:marLeft w:val="0"/>
      <w:marRight w:val="0"/>
      <w:marTop w:val="0"/>
      <w:marBottom w:val="0"/>
      <w:divBdr>
        <w:top w:val="none" w:sz="0" w:space="0" w:color="auto"/>
        <w:left w:val="none" w:sz="0" w:space="0" w:color="auto"/>
        <w:bottom w:val="none" w:sz="0" w:space="0" w:color="auto"/>
        <w:right w:val="none" w:sz="0" w:space="0" w:color="auto"/>
      </w:divBdr>
    </w:div>
    <w:div w:id="2096783712">
      <w:bodyDiv w:val="1"/>
      <w:marLeft w:val="0"/>
      <w:marRight w:val="0"/>
      <w:marTop w:val="0"/>
      <w:marBottom w:val="0"/>
      <w:divBdr>
        <w:top w:val="none" w:sz="0" w:space="0" w:color="auto"/>
        <w:left w:val="none" w:sz="0" w:space="0" w:color="auto"/>
        <w:bottom w:val="none" w:sz="0" w:space="0" w:color="auto"/>
        <w:right w:val="none" w:sz="0" w:space="0" w:color="auto"/>
      </w:divBdr>
    </w:div>
    <w:div w:id="2111391549">
      <w:bodyDiv w:val="1"/>
      <w:marLeft w:val="0"/>
      <w:marRight w:val="0"/>
      <w:marTop w:val="0"/>
      <w:marBottom w:val="0"/>
      <w:divBdr>
        <w:top w:val="none" w:sz="0" w:space="0" w:color="auto"/>
        <w:left w:val="none" w:sz="0" w:space="0" w:color="auto"/>
        <w:bottom w:val="none" w:sz="0" w:space="0" w:color="auto"/>
        <w:right w:val="none" w:sz="0" w:space="0" w:color="auto"/>
      </w:divBdr>
    </w:div>
    <w:div w:id="2128499840">
      <w:bodyDiv w:val="1"/>
      <w:marLeft w:val="0"/>
      <w:marRight w:val="0"/>
      <w:marTop w:val="0"/>
      <w:marBottom w:val="0"/>
      <w:divBdr>
        <w:top w:val="none" w:sz="0" w:space="0" w:color="auto"/>
        <w:left w:val="none" w:sz="0" w:space="0" w:color="auto"/>
        <w:bottom w:val="none" w:sz="0" w:space="0" w:color="auto"/>
        <w:right w:val="none" w:sz="0" w:space="0" w:color="auto"/>
      </w:divBdr>
    </w:div>
    <w:div w:id="2128549457">
      <w:bodyDiv w:val="1"/>
      <w:marLeft w:val="0"/>
      <w:marRight w:val="0"/>
      <w:marTop w:val="0"/>
      <w:marBottom w:val="0"/>
      <w:divBdr>
        <w:top w:val="none" w:sz="0" w:space="0" w:color="auto"/>
        <w:left w:val="none" w:sz="0" w:space="0" w:color="auto"/>
        <w:bottom w:val="none" w:sz="0" w:space="0" w:color="auto"/>
        <w:right w:val="none" w:sz="0" w:space="0" w:color="auto"/>
      </w:divBdr>
    </w:div>
    <w:div w:id="2131704389">
      <w:bodyDiv w:val="1"/>
      <w:marLeft w:val="0"/>
      <w:marRight w:val="0"/>
      <w:marTop w:val="0"/>
      <w:marBottom w:val="0"/>
      <w:divBdr>
        <w:top w:val="none" w:sz="0" w:space="0" w:color="auto"/>
        <w:left w:val="none" w:sz="0" w:space="0" w:color="auto"/>
        <w:bottom w:val="none" w:sz="0" w:space="0" w:color="auto"/>
        <w:right w:val="none" w:sz="0" w:space="0" w:color="auto"/>
      </w:divBdr>
    </w:div>
    <w:div w:id="2132939328">
      <w:bodyDiv w:val="1"/>
      <w:marLeft w:val="0"/>
      <w:marRight w:val="0"/>
      <w:marTop w:val="0"/>
      <w:marBottom w:val="0"/>
      <w:divBdr>
        <w:top w:val="none" w:sz="0" w:space="0" w:color="auto"/>
        <w:left w:val="none" w:sz="0" w:space="0" w:color="auto"/>
        <w:bottom w:val="none" w:sz="0" w:space="0" w:color="auto"/>
        <w:right w:val="none" w:sz="0" w:space="0" w:color="auto"/>
      </w:divBdr>
    </w:div>
    <w:div w:id="2138445390">
      <w:bodyDiv w:val="1"/>
      <w:marLeft w:val="0"/>
      <w:marRight w:val="0"/>
      <w:marTop w:val="0"/>
      <w:marBottom w:val="0"/>
      <w:divBdr>
        <w:top w:val="none" w:sz="0" w:space="0" w:color="auto"/>
        <w:left w:val="none" w:sz="0" w:space="0" w:color="auto"/>
        <w:bottom w:val="none" w:sz="0" w:space="0" w:color="auto"/>
        <w:right w:val="none" w:sz="0" w:space="0" w:color="auto"/>
      </w:divBdr>
    </w:div>
    <w:div w:id="2141535528">
      <w:bodyDiv w:val="1"/>
      <w:marLeft w:val="0"/>
      <w:marRight w:val="0"/>
      <w:marTop w:val="0"/>
      <w:marBottom w:val="0"/>
      <w:divBdr>
        <w:top w:val="none" w:sz="0" w:space="0" w:color="auto"/>
        <w:left w:val="none" w:sz="0" w:space="0" w:color="auto"/>
        <w:bottom w:val="none" w:sz="0" w:space="0" w:color="auto"/>
        <w:right w:val="none" w:sz="0" w:space="0" w:color="auto"/>
      </w:divBdr>
    </w:div>
    <w:div w:id="2144498488">
      <w:bodyDiv w:val="1"/>
      <w:marLeft w:val="0"/>
      <w:marRight w:val="0"/>
      <w:marTop w:val="0"/>
      <w:marBottom w:val="0"/>
      <w:divBdr>
        <w:top w:val="none" w:sz="0" w:space="0" w:color="auto"/>
        <w:left w:val="none" w:sz="0" w:space="0" w:color="auto"/>
        <w:bottom w:val="none" w:sz="0" w:space="0" w:color="auto"/>
        <w:right w:val="none" w:sz="0" w:space="0" w:color="auto"/>
      </w:divBdr>
    </w:div>
    <w:div w:id="214716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6</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96</cp:revision>
  <dcterms:created xsi:type="dcterms:W3CDTF">2023-02-15T08:31:00Z</dcterms:created>
  <dcterms:modified xsi:type="dcterms:W3CDTF">2023-09-29T20:36:00Z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2022-10-31T22:46:58Z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9a2245c3-2398-4ee4-87e2-0b7df79caa51</vt:lpwstr>
  </property>
  <property fmtid="{D5CDD505-2E9C-101B-9397-08002B2CF9AE}" pid="9" name="MSIP_Label_83bcef13-7cac-433f-ba1d-47a323951816_ContentBits">
    <vt:lpwstr>0</vt:lpwstr>
  </property>
</Properties>
</file>